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B470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32"/>
        </w:rPr>
      </w:pPr>
    </w:p>
    <w:p w14:paraId="4795263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32"/>
        </w:rPr>
      </w:pPr>
    </w:p>
    <w:p w14:paraId="06BC2B4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32"/>
        </w:rPr>
      </w:pPr>
    </w:p>
    <w:p w14:paraId="65DCFA2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32"/>
        </w:rPr>
      </w:pPr>
      <w:r>
        <w:rPr>
          <w:rFonts w:hint="eastAsia" w:ascii="方正小标宋简体" w:eastAsia="方正小标宋简体"/>
          <w:sz w:val="44"/>
          <w:szCs w:val="32"/>
        </w:rPr>
        <w:t>张家界航空工业职业技术学院</w:t>
      </w:r>
    </w:p>
    <w:p w14:paraId="2EA6971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32"/>
        </w:rPr>
      </w:pPr>
      <w:r>
        <w:rPr>
          <w:rFonts w:hint="eastAsia" w:ascii="方正小标宋简体" w:eastAsia="方正小标宋简体"/>
          <w:sz w:val="44"/>
          <w:szCs w:val="32"/>
        </w:rPr>
        <w:t>202</w:t>
      </w:r>
      <w:r>
        <w:rPr>
          <w:rFonts w:hint="eastAsia" w:ascii="方正小标宋简体" w:eastAsia="方正小标宋简体"/>
          <w:sz w:val="44"/>
          <w:szCs w:val="32"/>
          <w:lang w:val="en-US" w:eastAsia="zh-CN"/>
        </w:rPr>
        <w:t>3</w:t>
      </w:r>
      <w:r>
        <w:rPr>
          <w:rFonts w:hint="eastAsia" w:ascii="方正小标宋简体" w:eastAsia="方正小标宋简体"/>
          <w:sz w:val="44"/>
          <w:szCs w:val="32"/>
        </w:rPr>
        <w:t>—202</w:t>
      </w:r>
      <w:r>
        <w:rPr>
          <w:rFonts w:hint="eastAsia" w:ascii="方正小标宋简体" w:eastAsia="方正小标宋简体"/>
          <w:sz w:val="44"/>
          <w:szCs w:val="32"/>
          <w:lang w:val="en-US" w:eastAsia="zh-CN"/>
        </w:rPr>
        <w:t>4</w:t>
      </w:r>
      <w:r>
        <w:rPr>
          <w:rFonts w:hint="eastAsia" w:ascii="方正小标宋简体" w:eastAsia="方正小标宋简体"/>
          <w:sz w:val="44"/>
          <w:szCs w:val="32"/>
        </w:rPr>
        <w:t>学年度信息公开工作报告</w:t>
      </w:r>
    </w:p>
    <w:p w14:paraId="6AD3638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14:paraId="0AEC5BD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根据《高等学校信息公开办法》（中华人民共和国教育部令第29号）、《教育部关于公布〈高等学校信息公开事项清单〉的通知》（教办函〔2014〕23号）和《教育部办</w:t>
      </w:r>
      <w:bookmarkStart w:id="0" w:name="_GoBack"/>
      <w:bookmarkEnd w:id="0"/>
      <w:r>
        <w:rPr>
          <w:rFonts w:hint="eastAsia" w:ascii="仿宋_GB2312" w:eastAsia="仿宋_GB2312"/>
          <w:sz w:val="32"/>
        </w:rPr>
        <w:t>公厅关于做好202</w:t>
      </w:r>
      <w:r>
        <w:rPr>
          <w:rFonts w:hint="eastAsia" w:ascii="仿宋_GB2312" w:eastAsia="仿宋_GB2312"/>
          <w:sz w:val="32"/>
          <w:lang w:val="en-US" w:eastAsia="zh-CN"/>
        </w:rPr>
        <w:t>4</w:t>
      </w:r>
      <w:r>
        <w:rPr>
          <w:rFonts w:hint="eastAsia" w:ascii="仿宋_GB2312" w:eastAsia="仿宋_GB2312"/>
          <w:sz w:val="32"/>
        </w:rPr>
        <w:t>年高校信息公开年度报告工作的通知》有关规定，一年来，学校认真贯彻落实信息公开工作，现将本年度学校信息公开工作情况年度报告编制如下。</w:t>
      </w:r>
    </w:p>
    <w:p w14:paraId="76FE6A6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rPr>
      </w:pPr>
      <w:r>
        <w:rPr>
          <w:rFonts w:hint="eastAsia" w:ascii="黑体" w:hAnsi="黑体" w:eastAsia="黑体"/>
          <w:sz w:val="32"/>
        </w:rPr>
        <w:t>一、概述</w:t>
      </w:r>
    </w:p>
    <w:p w14:paraId="0E98F57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202</w:t>
      </w:r>
      <w:r>
        <w:rPr>
          <w:rFonts w:hint="eastAsia" w:ascii="仿宋_GB2312" w:eastAsia="仿宋_GB2312"/>
          <w:sz w:val="32"/>
          <w:lang w:val="en-US" w:eastAsia="zh-CN"/>
        </w:rPr>
        <w:t>3</w:t>
      </w:r>
      <w:r>
        <w:rPr>
          <w:rFonts w:hint="eastAsia" w:ascii="仿宋_GB2312" w:eastAsia="仿宋_GB2312"/>
          <w:sz w:val="32"/>
        </w:rPr>
        <w:t>-202</w:t>
      </w:r>
      <w:r>
        <w:rPr>
          <w:rFonts w:hint="eastAsia" w:ascii="仿宋_GB2312" w:eastAsia="仿宋_GB2312"/>
          <w:sz w:val="32"/>
          <w:lang w:val="en-US" w:eastAsia="zh-CN"/>
        </w:rPr>
        <w:t>4</w:t>
      </w:r>
      <w:r>
        <w:rPr>
          <w:rFonts w:hint="eastAsia" w:ascii="仿宋_GB2312" w:eastAsia="仿宋_GB2312"/>
          <w:sz w:val="32"/>
        </w:rPr>
        <w:t>学年，张家界航空工业职业技术学院坚持以习近平新时代中国特色社会主义思想为指导，全面贯彻党的二十大和二十届</w:t>
      </w:r>
      <w:r>
        <w:rPr>
          <w:rFonts w:hint="default" w:ascii="仿宋_GB2312" w:eastAsia="仿宋_GB2312"/>
          <w:sz w:val="32"/>
        </w:rPr>
        <w:t>二中、三中全会精神,</w:t>
      </w:r>
      <w:r>
        <w:rPr>
          <w:rFonts w:hint="eastAsia" w:ascii="仿宋_GB2312" w:eastAsia="仿宋_GB2312"/>
          <w:sz w:val="32"/>
        </w:rPr>
        <w:t>深入领会落实党中央、国务院关于政务公开的决策部署，严格落实教育部关于高校信息公开的规范指引，继续把信息公开作为促进依法治校的重要抓手，进一步强化组织领导、压实主体责任，强化平台建设、优化发布解读渠道，强化作用发挥、提升服务效能，不断提高学校信息公开工作实效。</w:t>
      </w:r>
    </w:p>
    <w:p w14:paraId="55575D7B">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b/>
          <w:bCs/>
          <w:sz w:val="32"/>
        </w:rPr>
      </w:pPr>
      <w:r>
        <w:rPr>
          <w:rFonts w:hint="eastAsia" w:ascii="仿宋_GB2312" w:eastAsia="仿宋_GB2312"/>
          <w:b/>
          <w:bCs/>
          <w:sz w:val="32"/>
        </w:rPr>
        <w:t>强化组织领导，压实信息公开主体责任</w:t>
      </w:r>
    </w:p>
    <w:p w14:paraId="4A977B7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学校高度重视信息公开工作，加强领导和部署，建立健全学校党委行政统一领导、党政办公室牵头抓总、各职能部门各负其责的信息公开工作格局。学校信息公开领导小组，研究决定信息公开重大问题，指导和监督信息公开工作的开展；领导小组下设信息公开办公室和监督检查办公室，分别负责信息公开的日常工作和监督检查，切实保障学校信息公开工作有效运行。同时，对标教育部《高等学校信息公开事项清单》所列事项，制定《张家界航空工业职业技术学院信息公开事项清单》，逐项明确公开事项的责任部门和公开方式等，进一步压实各职能部门的信息公开主体责任，由各单位落实本单位信息公开工作，切实做到职责到岗、任务到人。</w:t>
      </w:r>
    </w:p>
    <w:p w14:paraId="4834B51D">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3" w:firstLineChars="200"/>
        <w:textAlignment w:val="auto"/>
        <w:rPr>
          <w:rFonts w:hint="eastAsia" w:ascii="仿宋_GB2312" w:eastAsia="仿宋_GB2312"/>
          <w:b/>
          <w:bCs/>
          <w:sz w:val="32"/>
        </w:rPr>
      </w:pPr>
      <w:r>
        <w:rPr>
          <w:rFonts w:hint="eastAsia" w:ascii="仿宋_GB2312" w:eastAsia="仿宋_GB2312"/>
          <w:b/>
          <w:bCs/>
          <w:sz w:val="32"/>
        </w:rPr>
        <w:t>强化平台建设，优化信息发布解读渠道</w:t>
      </w:r>
    </w:p>
    <w:p w14:paraId="34C8991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202</w:t>
      </w:r>
      <w:r>
        <w:rPr>
          <w:rFonts w:hint="eastAsia" w:ascii="仿宋_GB2312" w:eastAsia="仿宋_GB2312"/>
          <w:sz w:val="32"/>
          <w:lang w:val="en-US" w:eastAsia="zh-CN"/>
        </w:rPr>
        <w:t>3</w:t>
      </w:r>
      <w:r>
        <w:rPr>
          <w:rFonts w:hint="eastAsia" w:ascii="仿宋_GB2312" w:eastAsia="仿宋_GB2312"/>
          <w:sz w:val="32"/>
        </w:rPr>
        <w:t>-202</w:t>
      </w:r>
      <w:r>
        <w:rPr>
          <w:rFonts w:hint="eastAsia" w:ascii="仿宋_GB2312" w:eastAsia="仿宋_GB2312"/>
          <w:sz w:val="32"/>
          <w:lang w:val="en-US" w:eastAsia="zh-CN"/>
        </w:rPr>
        <w:t>4</w:t>
      </w:r>
      <w:r>
        <w:rPr>
          <w:rFonts w:hint="eastAsia" w:ascii="仿宋_GB2312" w:eastAsia="仿宋_GB2312"/>
          <w:sz w:val="32"/>
        </w:rPr>
        <w:t>学年，学校进一步加强信息公开的各类平台建设，夯实工作基础。一方面，持续挖掘信息公开传统媒介的潜力。在学校门户网站醒目位置设置信息公开专栏作为学校信息公开主阵地，对照《清单》及时更新完善相关条目和信息，改进网站检索功能，落实便民服务要求；加强学校门户网站以及各二级单位官方网站的建设和维护，主动公开社会关注度高、与师生员工密切相关的信息并加强相关政策的解读宣讲；编制发布各类报刊、手册、简报等，通报传达学校管理、服务、育人等信息。另一方面，不断发掘信息公开新媒体的潜能。结合校园融媒体建设，用好“两微一端”</w:t>
      </w:r>
      <w:r>
        <w:rPr>
          <w:rFonts w:hint="eastAsia" w:ascii="仿宋_GB2312" w:eastAsia="仿宋_GB2312"/>
          <w:sz w:val="32"/>
          <w:lang w:eastAsia="zh-CN"/>
        </w:rPr>
        <w:t>、抖音</w:t>
      </w:r>
      <w:r>
        <w:rPr>
          <w:rFonts w:hint="eastAsia" w:ascii="仿宋_GB2312" w:eastAsia="仿宋_GB2312"/>
          <w:sz w:val="32"/>
        </w:rPr>
        <w:t>等新媒体平台，以图片、文字、视频等相结合的方式发布、解读信息，不断推动多媒体、多平台联动发布，提升社会公众获取信息的便捷度。通过传统媒介与新媒体互补、线上线下融合的信息公开渠道矩阵，打造内容全面、条目清晰、重点突出、便捷高效地信息公开窗口。</w:t>
      </w:r>
    </w:p>
    <w:p w14:paraId="364E572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b/>
          <w:bCs/>
          <w:sz w:val="32"/>
        </w:rPr>
      </w:pPr>
      <w:r>
        <w:rPr>
          <w:rFonts w:hint="eastAsia" w:ascii="仿宋_GB2312" w:eastAsia="仿宋_GB2312"/>
          <w:b/>
          <w:bCs/>
          <w:sz w:val="32"/>
        </w:rPr>
        <w:t>（三）强化作用发挥，提升信息公开服务效能</w:t>
      </w:r>
    </w:p>
    <w:p w14:paraId="6E595CC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FF0000"/>
          <w:sz w:val="32"/>
        </w:rPr>
      </w:pPr>
      <w:r>
        <w:rPr>
          <w:rFonts w:hint="eastAsia" w:ascii="仿宋_GB2312" w:eastAsia="仿宋_GB2312"/>
          <w:sz w:val="32"/>
        </w:rPr>
        <w:t>学校信息公开工作始终坚持“以公开为常态、不公开为例外”原则，以师生为中心，围绕社会关切，切实保障师生员工和社会公众的知情权、建议权和监督权。学校基本信息、招生考试信息、就业创业信息、财务资产及收费信息、人事师资信息、教学质量信息、学生管理服务信息、后勤保障、学术学风建设、各类规章制度、发展规划、制度报告、重大改革与决策等实施依法公开。通过对公开信息内容的规范，进一步提升了信息的参考和利用价值。</w:t>
      </w:r>
    </w:p>
    <w:p w14:paraId="1FC3DAA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rPr>
      </w:pPr>
      <w:r>
        <w:rPr>
          <w:rFonts w:hint="eastAsia" w:ascii="黑体" w:hAnsi="黑体" w:eastAsia="黑体"/>
          <w:sz w:val="32"/>
        </w:rPr>
        <w:t>二、主动公开情况</w:t>
      </w:r>
    </w:p>
    <w:p w14:paraId="730B16E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1、通过互联网公开。202</w:t>
      </w:r>
      <w:r>
        <w:rPr>
          <w:rFonts w:hint="eastAsia" w:ascii="仿宋_GB2312" w:eastAsia="仿宋_GB2312"/>
          <w:sz w:val="32"/>
          <w:lang w:val="en-US" w:eastAsia="zh-CN"/>
        </w:rPr>
        <w:t>3</w:t>
      </w:r>
      <w:r>
        <w:rPr>
          <w:rFonts w:hint="eastAsia" w:ascii="仿宋_GB2312" w:eastAsia="仿宋_GB2312"/>
          <w:sz w:val="32"/>
        </w:rPr>
        <w:t>-202</w:t>
      </w:r>
      <w:r>
        <w:rPr>
          <w:rFonts w:hint="eastAsia" w:ascii="仿宋_GB2312" w:eastAsia="仿宋_GB2312"/>
          <w:sz w:val="32"/>
          <w:lang w:val="en-US" w:eastAsia="zh-CN"/>
        </w:rPr>
        <w:t>4</w:t>
      </w:r>
      <w:r>
        <w:rPr>
          <w:rFonts w:hint="eastAsia" w:ascii="仿宋_GB2312" w:eastAsia="仿宋_GB2312"/>
          <w:sz w:val="32"/>
        </w:rPr>
        <w:t>学年，通过互联网公开和更新信息达</w:t>
      </w:r>
      <w:r>
        <w:rPr>
          <w:rFonts w:hint="eastAsia" w:ascii="仿宋_GB2312" w:eastAsia="仿宋_GB2312"/>
          <w:sz w:val="32"/>
          <w:lang w:val="en-US" w:eastAsia="zh-CN"/>
        </w:rPr>
        <w:t>1320</w:t>
      </w:r>
      <w:r>
        <w:rPr>
          <w:rFonts w:hint="eastAsia" w:ascii="仿宋_GB2312" w:eastAsia="仿宋_GB2312"/>
          <w:sz w:val="32"/>
        </w:rPr>
        <w:t>余条。主要是通过学校</w:t>
      </w:r>
      <w:r>
        <w:rPr>
          <w:rFonts w:hint="eastAsia" w:ascii="仿宋_GB2312" w:eastAsia="仿宋_GB2312"/>
          <w:sz w:val="32"/>
          <w:lang w:val="en-US" w:eastAsia="zh-CN"/>
        </w:rPr>
        <w:t>官网</w:t>
      </w:r>
      <w:r>
        <w:rPr>
          <w:rFonts w:hint="eastAsia" w:ascii="仿宋_GB2312" w:eastAsia="仿宋_GB2312"/>
          <w:sz w:val="32"/>
        </w:rPr>
        <w:t>、</w:t>
      </w:r>
      <w:r>
        <w:rPr>
          <w:rFonts w:hint="eastAsia" w:ascii="仿宋_GB2312" w:eastAsia="仿宋_GB2312"/>
          <w:sz w:val="32"/>
          <w:lang w:val="en-US" w:eastAsia="zh-CN"/>
        </w:rPr>
        <w:t>官方微信公众号、官方抖音、官方微博、智慧校园管理系统</w:t>
      </w:r>
      <w:r>
        <w:rPr>
          <w:rFonts w:hint="eastAsia" w:ascii="仿宋_GB2312" w:eastAsia="仿宋_GB2312"/>
          <w:sz w:val="32"/>
        </w:rPr>
        <w:t>分别向校内师生员工和社会公众公开信息。公开信息包括学校基本情况信息、招生考试、就业创业、校企合作、院系情况、章程、规章制度、</w:t>
      </w:r>
      <w:r>
        <w:rPr>
          <w:rFonts w:hint="eastAsia" w:ascii="仿宋_GB2312" w:eastAsia="仿宋_GB2312"/>
          <w:sz w:val="32"/>
          <w:lang w:eastAsia="zh-CN"/>
        </w:rPr>
        <w:t>内部</w:t>
      </w:r>
      <w:r>
        <w:rPr>
          <w:rFonts w:hint="eastAsia" w:ascii="仿宋_GB2312" w:eastAsia="仿宋_GB2312"/>
          <w:sz w:val="32"/>
        </w:rPr>
        <w:t>文件、统计数据、各级各类竞赛、获奖荣誉、科研课题、以及干部选拔、推优评先、职称评审、教师培训、各类收费等师生员工密切相关和社会比较关注的热点问题等。如学生学籍异动及管理、奖助学金评定及发放、就业指导等信息；教职工培训、干部异动提拔、人事异动及调整、新引进人员的招考录用、职称评审办法和结果、评先评优等有关人事工作信息；学校科研项目申报、科研奖励制度、科研项目结果等科研管理信息；学术委员会相关制度等学风建设信息；饮食服务、校园安保、校园建设等后勤保卫信息；财务收费、财务年度预决算等财务信息；专项督导通报等督导工作信息。</w:t>
      </w:r>
    </w:p>
    <w:p w14:paraId="5BFFADB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2、通过各类年鉴、报表等纸质资料公开。全年编辑和发放</w:t>
      </w:r>
      <w:r>
        <w:rPr>
          <w:rFonts w:hint="eastAsia" w:ascii="仿宋_GB2312" w:eastAsia="仿宋_GB2312"/>
          <w:sz w:val="32"/>
          <w:lang w:eastAsia="zh-CN"/>
        </w:rPr>
        <w:t>《教学通讯》</w:t>
      </w:r>
      <w:r>
        <w:rPr>
          <w:rFonts w:hint="eastAsia" w:ascii="仿宋_GB2312" w:eastAsia="仿宋_GB2312"/>
          <w:sz w:val="32"/>
          <w:lang w:val="en-US" w:eastAsia="zh-CN"/>
        </w:rPr>
        <w:t>8期、</w:t>
      </w:r>
      <w:r>
        <w:rPr>
          <w:rFonts w:hint="eastAsia" w:ascii="仿宋_GB2312" w:eastAsia="仿宋_GB2312"/>
          <w:sz w:val="32"/>
        </w:rPr>
        <w:t>《</w:t>
      </w:r>
      <w:r>
        <w:rPr>
          <w:rFonts w:hint="eastAsia" w:ascii="仿宋_GB2312" w:eastAsia="仿宋_GB2312"/>
          <w:sz w:val="32"/>
          <w:lang w:eastAsia="zh-CN"/>
        </w:rPr>
        <w:t>教学</w:t>
      </w:r>
      <w:r>
        <w:rPr>
          <w:rFonts w:hint="eastAsia" w:ascii="仿宋_GB2312" w:eastAsia="仿宋_GB2312"/>
          <w:sz w:val="32"/>
        </w:rPr>
        <w:t>督导简报》</w:t>
      </w:r>
      <w:r>
        <w:rPr>
          <w:rFonts w:hint="eastAsia" w:ascii="仿宋_GB2312" w:eastAsia="仿宋_GB2312"/>
          <w:sz w:val="32"/>
          <w:lang w:val="en-US" w:eastAsia="zh-CN"/>
        </w:rPr>
        <w:t>10</w:t>
      </w:r>
      <w:r>
        <w:rPr>
          <w:rFonts w:hint="eastAsia" w:ascii="仿宋_GB2312" w:eastAsia="仿宋_GB2312"/>
          <w:sz w:val="32"/>
        </w:rPr>
        <w:t>期；刊发</w:t>
      </w:r>
      <w:r>
        <w:rPr>
          <w:rFonts w:hint="eastAsia" w:ascii="仿宋_GB2312" w:eastAsia="仿宋_GB2312"/>
          <w:sz w:val="32"/>
          <w:lang w:eastAsia="zh-CN"/>
        </w:rPr>
        <w:t>内部刊物</w:t>
      </w:r>
      <w:r>
        <w:rPr>
          <w:rFonts w:hint="eastAsia" w:ascii="仿宋_GB2312" w:eastAsia="仿宋_GB2312"/>
          <w:sz w:val="32"/>
        </w:rPr>
        <w:t>《</w:t>
      </w:r>
      <w:r>
        <w:rPr>
          <w:rFonts w:hint="eastAsia" w:ascii="仿宋_GB2312" w:eastAsia="仿宋_GB2312"/>
          <w:sz w:val="32"/>
          <w:lang w:eastAsia="zh-CN"/>
        </w:rPr>
        <w:t>张航职业教育研究</w:t>
      </w:r>
      <w:r>
        <w:rPr>
          <w:rFonts w:hint="eastAsia" w:ascii="仿宋_GB2312" w:eastAsia="仿宋_GB2312"/>
          <w:sz w:val="32"/>
        </w:rPr>
        <w:t>》</w:t>
      </w:r>
      <w:r>
        <w:rPr>
          <w:rFonts w:hint="eastAsia" w:ascii="仿宋_GB2312" w:eastAsia="仿宋_GB2312"/>
          <w:sz w:val="32"/>
          <w:lang w:val="en-US" w:eastAsia="zh-CN"/>
        </w:rPr>
        <w:t>1期</w:t>
      </w:r>
      <w:r>
        <w:rPr>
          <w:rFonts w:hint="eastAsia" w:ascii="仿宋_GB2312" w:eastAsia="仿宋_GB2312"/>
          <w:sz w:val="32"/>
        </w:rPr>
        <w:t>；编辑刊发学校文件共计248份，其中张航发7份、张航校发33份、张航办发181份、张航纪发9份、张航团发18份。</w:t>
      </w:r>
    </w:p>
    <w:p w14:paraId="6169488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3、通过宣传橱窗、电子显示屏等形式公开。对学生奖助学金的评选和发放公示、教师职称评审公示、学费收费项目、标准、依据等均以此方式向全校师生公开。学校定期对院系、部门的宣传橱窗和电子显示屏进行更新。宣传橱窗展板展出专栏、电子显示屏展示共</w:t>
      </w:r>
      <w:r>
        <w:rPr>
          <w:rFonts w:hint="eastAsia" w:ascii="仿宋_GB2312" w:eastAsia="仿宋_GB2312"/>
          <w:sz w:val="32"/>
          <w:lang w:val="en-US" w:eastAsia="zh-CN"/>
        </w:rPr>
        <w:t>350</w:t>
      </w:r>
      <w:r>
        <w:rPr>
          <w:rFonts w:hint="eastAsia" w:ascii="仿宋_GB2312" w:eastAsia="仿宋_GB2312"/>
          <w:sz w:val="32"/>
        </w:rPr>
        <w:t>余次。</w:t>
      </w:r>
    </w:p>
    <w:p w14:paraId="526C05F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0000FF"/>
          <w:sz w:val="32"/>
        </w:rPr>
      </w:pPr>
      <w:r>
        <w:rPr>
          <w:rFonts w:hint="eastAsia" w:ascii="仿宋_GB2312" w:eastAsia="仿宋_GB2312"/>
          <w:sz w:val="32"/>
        </w:rPr>
        <w:t>4、通过电视网络新闻媒体公开。人民日报</w:t>
      </w:r>
      <w:r>
        <w:rPr>
          <w:rFonts w:hint="eastAsia" w:ascii="仿宋_GB2312" w:eastAsia="仿宋_GB2312"/>
          <w:sz w:val="32"/>
          <w:lang w:val="en-US" w:eastAsia="zh-CN"/>
        </w:rPr>
        <w:t>客户端</w:t>
      </w:r>
      <w:r>
        <w:rPr>
          <w:rFonts w:hint="eastAsia" w:ascii="仿宋_GB2312" w:eastAsia="仿宋_GB2312"/>
          <w:sz w:val="32"/>
        </w:rPr>
        <w:t>、</w:t>
      </w:r>
      <w:r>
        <w:rPr>
          <w:rFonts w:hint="eastAsia" w:ascii="仿宋_GB2312" w:eastAsia="仿宋_GB2312"/>
          <w:sz w:val="32"/>
          <w:lang w:val="en-US" w:eastAsia="zh-CN"/>
        </w:rPr>
        <w:t>央广网、</w:t>
      </w:r>
      <w:r>
        <w:rPr>
          <w:rFonts w:hint="eastAsia" w:ascii="仿宋_GB2312" w:eastAsia="仿宋_GB2312"/>
          <w:sz w:val="32"/>
        </w:rPr>
        <w:t>湖南日报</w:t>
      </w:r>
      <w:r>
        <w:rPr>
          <w:rFonts w:hint="eastAsia" w:ascii="仿宋_GB2312" w:eastAsia="仿宋_GB2312"/>
          <w:sz w:val="32"/>
          <w:lang w:eastAsia="zh-CN"/>
        </w:rPr>
        <w:t>（</w:t>
      </w:r>
      <w:r>
        <w:rPr>
          <w:rFonts w:hint="eastAsia" w:ascii="仿宋_GB2312" w:eastAsia="仿宋_GB2312"/>
          <w:sz w:val="32"/>
          <w:lang w:val="en-US" w:eastAsia="zh-CN"/>
        </w:rPr>
        <w:t>新湖南</w:t>
      </w:r>
      <w:r>
        <w:rPr>
          <w:rFonts w:hint="eastAsia" w:ascii="仿宋_GB2312" w:eastAsia="仿宋_GB2312"/>
          <w:sz w:val="32"/>
          <w:lang w:eastAsia="zh-CN"/>
        </w:rPr>
        <w:t>）</w:t>
      </w:r>
      <w:r>
        <w:rPr>
          <w:rFonts w:hint="eastAsia" w:ascii="仿宋_GB2312" w:eastAsia="仿宋_GB2312"/>
          <w:sz w:val="32"/>
        </w:rPr>
        <w:t>、三湘都市报、</w:t>
      </w:r>
      <w:r>
        <w:rPr>
          <w:rFonts w:hint="eastAsia" w:ascii="仿宋_GB2312" w:eastAsia="仿宋_GB2312"/>
          <w:sz w:val="32"/>
          <w:lang w:val="en-US" w:eastAsia="zh-CN"/>
        </w:rPr>
        <w:t>中国教育在线、</w:t>
      </w:r>
      <w:r>
        <w:rPr>
          <w:rFonts w:hint="eastAsia" w:ascii="仿宋_GB2312" w:eastAsia="仿宋_GB2312"/>
          <w:sz w:val="32"/>
        </w:rPr>
        <w:t>湖南教育网、湖南教育政务网、湖南教育新闻网、</w:t>
      </w:r>
      <w:r>
        <w:rPr>
          <w:rFonts w:hint="eastAsia" w:ascii="仿宋_GB2312" w:eastAsia="仿宋_GB2312"/>
          <w:sz w:val="32"/>
          <w:lang w:val="en-US" w:eastAsia="zh-CN"/>
        </w:rPr>
        <w:t>湘微职教、</w:t>
      </w:r>
      <w:r>
        <w:rPr>
          <w:rFonts w:hint="eastAsia" w:ascii="仿宋_GB2312" w:eastAsia="仿宋_GB2312"/>
          <w:sz w:val="32"/>
        </w:rPr>
        <w:t>红网、新湖南、华声在线、</w:t>
      </w:r>
      <w:r>
        <w:rPr>
          <w:rFonts w:hint="eastAsia" w:ascii="仿宋_GB2312" w:eastAsia="仿宋_GB2312"/>
          <w:sz w:val="32"/>
          <w:lang w:val="en-US" w:eastAsia="zh-CN"/>
        </w:rPr>
        <w:t>张家界</w:t>
      </w:r>
      <w:r>
        <w:rPr>
          <w:rFonts w:hint="eastAsia" w:ascii="仿宋_GB2312" w:eastAsia="仿宋_GB2312"/>
          <w:sz w:val="32"/>
        </w:rPr>
        <w:t>日报、</w:t>
      </w:r>
      <w:r>
        <w:rPr>
          <w:rFonts w:hint="eastAsia" w:ascii="仿宋_GB2312" w:eastAsia="仿宋_GB2312"/>
          <w:sz w:val="32"/>
          <w:lang w:val="en-US" w:eastAsia="zh-CN"/>
        </w:rPr>
        <w:t>张家界</w:t>
      </w:r>
      <w:r>
        <w:rPr>
          <w:rFonts w:hint="eastAsia" w:ascii="仿宋_GB2312" w:eastAsia="仿宋_GB2312"/>
          <w:sz w:val="32"/>
        </w:rPr>
        <w:t>电视台</w:t>
      </w:r>
      <w:r>
        <w:rPr>
          <w:rFonts w:hint="eastAsia" w:ascii="仿宋_GB2312" w:eastAsia="仿宋_GB2312"/>
          <w:sz w:val="32"/>
          <w:lang w:eastAsia="zh-CN"/>
        </w:rPr>
        <w:t>、</w:t>
      </w:r>
      <w:r>
        <w:rPr>
          <w:rFonts w:hint="eastAsia" w:ascii="仿宋_GB2312" w:eastAsia="仿宋_GB2312"/>
          <w:sz w:val="32"/>
          <w:lang w:val="en-US" w:eastAsia="zh-CN"/>
        </w:rPr>
        <w:t>掌上张家界</w:t>
      </w:r>
      <w:r>
        <w:rPr>
          <w:rFonts w:hint="eastAsia" w:ascii="仿宋_GB2312" w:eastAsia="仿宋_GB2312"/>
          <w:sz w:val="32"/>
        </w:rPr>
        <w:t>等刊登宣传学</w:t>
      </w:r>
      <w:r>
        <w:rPr>
          <w:rFonts w:hint="eastAsia" w:ascii="仿宋_GB2312" w:eastAsia="仿宋_GB2312"/>
          <w:sz w:val="32"/>
          <w:lang w:eastAsia="zh-CN"/>
        </w:rPr>
        <w:t>校</w:t>
      </w:r>
      <w:r>
        <w:rPr>
          <w:rFonts w:hint="eastAsia" w:ascii="仿宋_GB2312" w:eastAsia="仿宋_GB2312"/>
          <w:sz w:val="32"/>
        </w:rPr>
        <w:t>报道达</w:t>
      </w:r>
      <w:r>
        <w:rPr>
          <w:rFonts w:hint="eastAsia" w:ascii="仿宋_GB2312" w:eastAsia="仿宋_GB2312"/>
          <w:sz w:val="32"/>
          <w:lang w:val="en-US" w:eastAsia="zh-CN"/>
        </w:rPr>
        <w:t>340余</w:t>
      </w:r>
      <w:r>
        <w:rPr>
          <w:rFonts w:hint="eastAsia" w:ascii="仿宋_GB2312" w:eastAsia="仿宋_GB2312"/>
          <w:sz w:val="32"/>
        </w:rPr>
        <w:t>次。</w:t>
      </w:r>
    </w:p>
    <w:p w14:paraId="45F2B73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5、通过会议形式公开。学校通过党委会、校长办公会研究决策学校重要工作，通过教学例会、学工例会、招就例会等工作例会协调处置行政日常工作。</w:t>
      </w:r>
    </w:p>
    <w:p w14:paraId="72C0E71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6、通过其他形式公开。学校阳光服务中心接受学校师生和广大社会公众的投诉举报、咨询、建议、表扬等信息，受理省阳光服务平台和学校阳光服务平台事项</w:t>
      </w:r>
      <w:r>
        <w:rPr>
          <w:rFonts w:hint="eastAsia" w:ascii="仿宋_GB2312" w:eastAsia="仿宋_GB2312"/>
          <w:sz w:val="32"/>
          <w:lang w:val="en-US" w:eastAsia="zh-CN"/>
        </w:rPr>
        <w:t>70</w:t>
      </w:r>
      <w:r>
        <w:rPr>
          <w:rFonts w:hint="eastAsia" w:ascii="仿宋_GB2312" w:eastAsia="仿宋_GB2312"/>
          <w:sz w:val="32"/>
        </w:rPr>
        <w:t>余件。</w:t>
      </w:r>
    </w:p>
    <w:p w14:paraId="504DE2F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rPr>
      </w:pPr>
      <w:r>
        <w:rPr>
          <w:rFonts w:hint="eastAsia" w:ascii="黑体" w:hAnsi="黑体" w:eastAsia="黑体"/>
          <w:sz w:val="32"/>
        </w:rPr>
        <w:t>三、依申请公开和不予公开情况</w:t>
      </w:r>
    </w:p>
    <w:p w14:paraId="1512004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没有收到有关公开信息的申请。</w:t>
      </w:r>
    </w:p>
    <w:p w14:paraId="2AEC4E1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rPr>
      </w:pPr>
      <w:r>
        <w:rPr>
          <w:rFonts w:hint="eastAsia" w:ascii="黑体" w:hAnsi="黑体" w:eastAsia="黑体"/>
          <w:sz w:val="32"/>
        </w:rPr>
        <w:t>四、对信息公开评议情况</w:t>
      </w:r>
    </w:p>
    <w:p w14:paraId="73BD1AA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针对师生员生和社会公众重点关注的工作，如党建工作、 干部任免、职称评审、人员招聘、教育教学、资产信息、财务信息、建设招标、招生录取、就业信息、校企合作等相关信息，及时通过</w:t>
      </w:r>
      <w:r>
        <w:rPr>
          <w:rFonts w:hint="eastAsia" w:ascii="仿宋_GB2312" w:eastAsia="仿宋_GB2312"/>
          <w:sz w:val="32"/>
          <w:lang w:eastAsia="zh-CN"/>
        </w:rPr>
        <w:t>门户网站</w:t>
      </w:r>
      <w:r>
        <w:rPr>
          <w:rFonts w:hint="eastAsia" w:ascii="仿宋_GB2312" w:eastAsia="仿宋_GB2312"/>
          <w:sz w:val="32"/>
        </w:rPr>
        <w:t>、</w:t>
      </w:r>
      <w:r>
        <w:rPr>
          <w:rFonts w:hint="eastAsia" w:ascii="仿宋_GB2312" w:eastAsia="仿宋_GB2312"/>
          <w:sz w:val="32"/>
          <w:lang w:val="en-US" w:eastAsia="zh-CN"/>
        </w:rPr>
        <w:t>智慧校园</w:t>
      </w:r>
      <w:r>
        <w:rPr>
          <w:rFonts w:hint="eastAsia" w:ascii="仿宋_GB2312" w:eastAsia="仿宋_GB2312"/>
          <w:sz w:val="32"/>
        </w:rPr>
        <w:t>系统发布相关信息。师生员工和社会公众对我校信息公开工作表示满意。</w:t>
      </w:r>
    </w:p>
    <w:p w14:paraId="02EB453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rPr>
      </w:pPr>
      <w:r>
        <w:rPr>
          <w:rFonts w:hint="eastAsia" w:ascii="黑体" w:hAnsi="黑体" w:eastAsia="黑体"/>
          <w:sz w:val="32"/>
        </w:rPr>
        <w:t xml:space="preserve">五、因信息公开工作受到举报、复议、诉讼的情况 </w:t>
      </w:r>
    </w:p>
    <w:p w14:paraId="10DDD90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202</w:t>
      </w:r>
      <w:r>
        <w:rPr>
          <w:rFonts w:hint="eastAsia" w:ascii="仿宋_GB2312" w:eastAsia="仿宋_GB2312"/>
          <w:sz w:val="32"/>
          <w:lang w:val="en-US" w:eastAsia="zh-CN"/>
        </w:rPr>
        <w:t>3</w:t>
      </w:r>
      <w:r>
        <w:rPr>
          <w:rFonts w:hint="eastAsia" w:ascii="仿宋_GB2312" w:eastAsia="仿宋_GB2312"/>
          <w:sz w:val="32"/>
        </w:rPr>
        <w:t>—202</w:t>
      </w:r>
      <w:r>
        <w:rPr>
          <w:rFonts w:hint="eastAsia" w:ascii="仿宋_GB2312" w:eastAsia="仿宋_GB2312"/>
          <w:sz w:val="32"/>
          <w:lang w:val="en-US" w:eastAsia="zh-CN"/>
        </w:rPr>
        <w:t>4</w:t>
      </w:r>
      <w:r>
        <w:rPr>
          <w:rFonts w:hint="eastAsia" w:ascii="仿宋_GB2312" w:eastAsia="仿宋_GB2312"/>
          <w:sz w:val="32"/>
        </w:rPr>
        <w:t>年度没有收到有关信息公开工作的举报、复议、诉讼。</w:t>
      </w:r>
    </w:p>
    <w:p w14:paraId="0E31A2D7">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rPr>
      </w:pPr>
      <w:r>
        <w:rPr>
          <w:rFonts w:hint="eastAsia" w:ascii="黑体" w:hAnsi="黑体" w:eastAsia="黑体"/>
          <w:sz w:val="32"/>
        </w:rPr>
        <w:t xml:space="preserve">存在的主要问题和改进措施 </w:t>
      </w:r>
    </w:p>
    <w:p w14:paraId="20AD039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在稳步深入推进学校信息公开工作的同时，学校信息公开工作仍有不足之处。主要表现在：信息公开网页上的信息更新不及时，内容上与《目录》缺乏针对性；</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校园信息化建设程度普遍不高，办公</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OA系统等信息化建设工作推进缓慢</w:t>
      </w:r>
      <w:r>
        <w:rPr>
          <w:rFonts w:hint="eastAsia" w:ascii="仿宋_GB2312" w:hAnsi="仿宋_GB2312" w:eastAsia="仿宋_GB2312" w:cs="仿宋_GB2312"/>
          <w:color w:val="000000" w:themeColor="text1"/>
          <w:kern w:val="0"/>
          <w:sz w:val="32"/>
          <w:szCs w:val="32"/>
          <w14:textFill>
            <w14:solidFill>
              <w14:schemeClr w14:val="tx1"/>
            </w14:solidFill>
          </w14:textFill>
        </w:rPr>
        <w:t>。下一阶段，学校将继续深入贯彻落实《高等学校信息公开办法》，进一步深化对信息公开工作的认识，加强信息工作宣传力度，优化信息公开网站建设，细化并完善信息公开专栏内容，提升师生群体对信息公开的认知度，提高社会公众对信息获取的效率</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14:paraId="250FAB9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（一）以加大宣传为中心，充分提高思想认识</w:t>
      </w:r>
    </w:p>
    <w:p w14:paraId="6C6B52E1">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进一步加大对信息公开工作重要性、必要性的宣传，不断提高各职能部门及管理人员信息公开的自觉性和主动性，从思想意识层面为信息公开工作提供保证，切实推进各职能部门转变工作作风，增强学校民主办学、依法治校的自觉性。</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14:paraId="3296EDD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（二）</w:t>
      </w:r>
      <w:r>
        <w:rPr>
          <w:rFonts w:hint="eastAsia" w:ascii="仿宋_GB2312" w:hAnsi="仿宋_GB2312" w:eastAsia="仿宋_GB2312" w:cs="仿宋_GB2312"/>
          <w:b/>
          <w:bCs/>
          <w:color w:val="000000" w:themeColor="text1"/>
          <w:kern w:val="0"/>
          <w:sz w:val="32"/>
          <w:szCs w:val="32"/>
          <w14:textFill>
            <w14:solidFill>
              <w14:schemeClr w14:val="tx1"/>
            </w14:solidFill>
          </w14:textFill>
        </w:rPr>
        <w:t>以平台建设为重点，构建全方位的信息公开服务体系</w:t>
      </w:r>
    </w:p>
    <w:p w14:paraId="0561002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依托学校搭建的全方位、多层面的新型信息化宣传服务平台，进一步拓展信息公开的服务渠道和方式方法，提高师生和社会公众对信息公开的关注度和认知度；继续对师生员工和社会公众关注度高的重点领域信息进行主动公开，并注重已公开信息的质量和公开的时效性。进一步扩充办事指南、表格下载等便民服务信息的内容，对便民问答中公开事项进行分类汇总，提高社会公众对信息获取的效率。进一步发挥网上调查、网上征求意见等网上互动功能，对学校重大决策制定进行广泛征求意见，接受师生群众监督。继续优化信息公开网的平台建设，强化后台技术，切实保障网络信息安全，有效加强信息公开工作成效。</w:t>
      </w:r>
    </w:p>
    <w:p w14:paraId="1A65358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（三）</w:t>
      </w:r>
      <w:r>
        <w:rPr>
          <w:rFonts w:hint="eastAsia" w:ascii="仿宋_GB2312" w:hAnsi="仿宋_GB2312" w:eastAsia="仿宋_GB2312" w:cs="仿宋_GB2312"/>
          <w:b/>
          <w:bCs/>
          <w:color w:val="000000" w:themeColor="text1"/>
          <w:kern w:val="0"/>
          <w:sz w:val="32"/>
          <w:szCs w:val="32"/>
          <w14:textFill>
            <w14:solidFill>
              <w14:schemeClr w14:val="tx1"/>
            </w14:solidFill>
          </w14:textFill>
        </w:rPr>
        <w:t>以扩大公开为抓手，提高内部治理水平</w:t>
      </w:r>
    </w:p>
    <w:p w14:paraId="22D2831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以信息公开工作为抓手，完善各项规章制度，明确岗位职责，促进工作规程化、责任化、透明化、便捷化，切实提升机关服务质量和服务水平，提高机关工作效能。信息公开的内容就是关系师生切身利益的重点问题，我们将以信息公开为契机，把实现和为维护群众利益作为出发点和落脚点，充分利用包括阳光服务平台在内的已有的网络平台和技术，整合资源，完善管理，切实做好学校“一站式”服务，使机关各项管理更加“规范化”，服务更加“人性化”，保障更加“便捷化”。</w:t>
      </w:r>
    </w:p>
    <w:p w14:paraId="14F167B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rPr>
      </w:pPr>
      <w:r>
        <w:rPr>
          <w:rFonts w:hint="eastAsia" w:ascii="黑体" w:hAnsi="黑体" w:eastAsia="黑体"/>
          <w:sz w:val="32"/>
        </w:rPr>
        <w:t>七、其他需要报告的事项</w:t>
      </w:r>
    </w:p>
    <w:p w14:paraId="2DF054F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无。</w:t>
      </w:r>
    </w:p>
    <w:p w14:paraId="1789B840">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rPr>
      </w:pPr>
      <w:r>
        <w:rPr>
          <w:rFonts w:hint="eastAsia" w:ascii="黑体" w:hAnsi="黑体" w:eastAsia="黑体"/>
          <w:sz w:val="32"/>
        </w:rPr>
        <w:t>八、清单事项公开情况表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0"/>
        <w:gridCol w:w="3515"/>
        <w:gridCol w:w="1325"/>
      </w:tblGrid>
      <w:tr w14:paraId="7FE8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69F37535">
            <w:pPr>
              <w:ind w:firstLine="482" w:firstLineChars="2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公开事项</w:t>
            </w:r>
          </w:p>
        </w:tc>
        <w:tc>
          <w:tcPr>
            <w:tcW w:w="3515" w:type="dxa"/>
          </w:tcPr>
          <w:p w14:paraId="393B987A">
            <w:pPr>
              <w:ind w:firstLine="482" w:firstLineChars="2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网址链接</w:t>
            </w:r>
          </w:p>
        </w:tc>
        <w:tc>
          <w:tcPr>
            <w:tcW w:w="1325" w:type="dxa"/>
          </w:tcPr>
          <w:p w14:paraId="5DB65FF9">
            <w:pPr>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备 注</w:t>
            </w:r>
          </w:p>
        </w:tc>
      </w:tr>
      <w:tr w14:paraId="545A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45EAC2EE">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（1）办学规模、校级领导班子简介及分工、学校机构设置、学科情况、专业情况、各类在校生情况、教师和专业技术人员数量等办学基本情况</w:t>
            </w:r>
          </w:p>
        </w:tc>
        <w:tc>
          <w:tcPr>
            <w:tcW w:w="3515" w:type="dxa"/>
          </w:tcPr>
          <w:p w14:paraId="2D2F6A3C">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http://www.zjjhy.net/xxgk/channels/92.html</w:t>
            </w:r>
          </w:p>
        </w:tc>
        <w:tc>
          <w:tcPr>
            <w:tcW w:w="1325" w:type="dxa"/>
          </w:tcPr>
          <w:p w14:paraId="4BC8FA9B">
            <w:pPr>
              <w:widowControl/>
              <w:spacing w:line="360" w:lineRule="exact"/>
              <w:jc w:val="left"/>
              <w:rPr>
                <w:rFonts w:ascii="黑体" w:hAnsi="黑体" w:eastAsia="黑体" w:cs="黑体"/>
                <w:kern w:val="0"/>
                <w:szCs w:val="21"/>
              </w:rPr>
            </w:pPr>
          </w:p>
        </w:tc>
      </w:tr>
      <w:tr w14:paraId="1392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789A0A20">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（2）学校章程及制定的各项规章制度</w:t>
            </w:r>
          </w:p>
        </w:tc>
        <w:tc>
          <w:tcPr>
            <w:tcW w:w="3515" w:type="dxa"/>
          </w:tcPr>
          <w:p w14:paraId="16E28D31">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http://www.zjjhy.net/xxgk/channels/92.html</w:t>
            </w:r>
          </w:p>
        </w:tc>
        <w:tc>
          <w:tcPr>
            <w:tcW w:w="1325" w:type="dxa"/>
          </w:tcPr>
          <w:p w14:paraId="21EC8F5D">
            <w:pPr>
              <w:widowControl/>
              <w:spacing w:line="360" w:lineRule="exact"/>
              <w:jc w:val="left"/>
              <w:rPr>
                <w:rFonts w:ascii="黑体" w:hAnsi="黑体" w:eastAsia="黑体" w:cs="黑体"/>
                <w:kern w:val="0"/>
                <w:szCs w:val="21"/>
              </w:rPr>
            </w:pPr>
          </w:p>
        </w:tc>
      </w:tr>
      <w:tr w14:paraId="3479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669A2B16">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（3）教职工代表大会相关制度、工作报告</w:t>
            </w:r>
          </w:p>
        </w:tc>
        <w:tc>
          <w:tcPr>
            <w:tcW w:w="3515" w:type="dxa"/>
          </w:tcPr>
          <w:p w14:paraId="13FCF822">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http://www.zjjhy.net/xxgk/channels/92.html</w:t>
            </w:r>
          </w:p>
        </w:tc>
        <w:tc>
          <w:tcPr>
            <w:tcW w:w="1325" w:type="dxa"/>
          </w:tcPr>
          <w:p w14:paraId="5AB25452">
            <w:pPr>
              <w:widowControl/>
              <w:spacing w:line="360" w:lineRule="exact"/>
              <w:jc w:val="left"/>
              <w:rPr>
                <w:rFonts w:ascii="黑体" w:hAnsi="黑体" w:eastAsia="黑体" w:cs="黑体"/>
                <w:kern w:val="0"/>
                <w:szCs w:val="21"/>
              </w:rPr>
            </w:pPr>
          </w:p>
        </w:tc>
      </w:tr>
      <w:tr w14:paraId="5076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5B37F860">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（4）学术委员会相关制度、年度报告</w:t>
            </w:r>
          </w:p>
        </w:tc>
        <w:tc>
          <w:tcPr>
            <w:tcW w:w="3515" w:type="dxa"/>
          </w:tcPr>
          <w:p w14:paraId="19F8BD6B">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http://www.zjjhy.net/xxgk/channels/94.html</w:t>
            </w:r>
          </w:p>
        </w:tc>
        <w:tc>
          <w:tcPr>
            <w:tcW w:w="1325" w:type="dxa"/>
          </w:tcPr>
          <w:p w14:paraId="77B05663">
            <w:pPr>
              <w:widowControl/>
              <w:spacing w:line="360" w:lineRule="exact"/>
              <w:jc w:val="left"/>
              <w:rPr>
                <w:rFonts w:ascii="黑体" w:hAnsi="黑体" w:eastAsia="黑体" w:cs="黑体"/>
                <w:kern w:val="0"/>
                <w:szCs w:val="21"/>
              </w:rPr>
            </w:pPr>
          </w:p>
        </w:tc>
      </w:tr>
      <w:tr w14:paraId="402E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687ED969">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（5）学校发展规划、年度工作计划及重点工作安排</w:t>
            </w:r>
          </w:p>
        </w:tc>
        <w:tc>
          <w:tcPr>
            <w:tcW w:w="3515" w:type="dxa"/>
          </w:tcPr>
          <w:p w14:paraId="70030726">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http://www.zjjhy.net/xxgk/channels/92.html</w:t>
            </w:r>
          </w:p>
        </w:tc>
        <w:tc>
          <w:tcPr>
            <w:tcW w:w="1325" w:type="dxa"/>
          </w:tcPr>
          <w:p w14:paraId="038AD020">
            <w:pPr>
              <w:widowControl/>
              <w:spacing w:line="360" w:lineRule="exact"/>
              <w:jc w:val="left"/>
              <w:rPr>
                <w:rFonts w:ascii="黑体" w:hAnsi="黑体" w:eastAsia="黑体" w:cs="黑体"/>
                <w:kern w:val="0"/>
                <w:szCs w:val="21"/>
              </w:rPr>
            </w:pPr>
          </w:p>
        </w:tc>
      </w:tr>
      <w:tr w14:paraId="02BE5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4EF1FC5F">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（6）信息公开年度报告</w:t>
            </w:r>
          </w:p>
        </w:tc>
        <w:tc>
          <w:tcPr>
            <w:tcW w:w="3515" w:type="dxa"/>
          </w:tcPr>
          <w:p w14:paraId="1791346E">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http://www.zjjhy.net/xxgk/channels/92.html</w:t>
            </w:r>
          </w:p>
        </w:tc>
        <w:tc>
          <w:tcPr>
            <w:tcW w:w="1325" w:type="dxa"/>
          </w:tcPr>
          <w:p w14:paraId="71B2CB8D">
            <w:pPr>
              <w:widowControl/>
              <w:spacing w:line="360" w:lineRule="exact"/>
              <w:jc w:val="left"/>
              <w:rPr>
                <w:rFonts w:ascii="黑体" w:hAnsi="黑体" w:eastAsia="黑体" w:cs="黑体"/>
                <w:kern w:val="0"/>
                <w:szCs w:val="21"/>
              </w:rPr>
            </w:pPr>
          </w:p>
        </w:tc>
      </w:tr>
      <w:tr w14:paraId="26A9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1BF39B0E">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（7）招生章程及特殊类型招生办法，分批次、分科类招生计划</w:t>
            </w:r>
          </w:p>
        </w:tc>
        <w:tc>
          <w:tcPr>
            <w:tcW w:w="3515" w:type="dxa"/>
          </w:tcPr>
          <w:p w14:paraId="4E30001E">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http://www.zjjhy.net/xxgk/channels/97.html</w:t>
            </w:r>
          </w:p>
        </w:tc>
        <w:tc>
          <w:tcPr>
            <w:tcW w:w="1325" w:type="dxa"/>
          </w:tcPr>
          <w:p w14:paraId="09DFE1C9">
            <w:pPr>
              <w:widowControl/>
              <w:spacing w:line="360" w:lineRule="exact"/>
              <w:jc w:val="left"/>
              <w:rPr>
                <w:rFonts w:ascii="黑体" w:hAnsi="黑体" w:eastAsia="黑体" w:cs="黑体"/>
                <w:kern w:val="0"/>
                <w:szCs w:val="21"/>
              </w:rPr>
            </w:pPr>
          </w:p>
        </w:tc>
      </w:tr>
      <w:tr w14:paraId="19B2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4BC4C8B4">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（8）保送、自主选拔录取、高水平运动员和艺术特长生招生等特殊类型招生入选考生资格及测试结果</w:t>
            </w:r>
          </w:p>
        </w:tc>
        <w:tc>
          <w:tcPr>
            <w:tcW w:w="3515" w:type="dxa"/>
          </w:tcPr>
          <w:p w14:paraId="31B5A396">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http://www.zjjhy.net/xxgk/channels/97.html</w:t>
            </w:r>
          </w:p>
        </w:tc>
        <w:tc>
          <w:tcPr>
            <w:tcW w:w="1325" w:type="dxa"/>
          </w:tcPr>
          <w:p w14:paraId="5BE99ECE">
            <w:pPr>
              <w:widowControl/>
              <w:spacing w:line="360" w:lineRule="exact"/>
              <w:jc w:val="left"/>
              <w:rPr>
                <w:rFonts w:ascii="黑体" w:hAnsi="黑体" w:eastAsia="黑体" w:cs="黑体"/>
                <w:kern w:val="0"/>
                <w:szCs w:val="21"/>
              </w:rPr>
            </w:pPr>
          </w:p>
        </w:tc>
      </w:tr>
      <w:tr w14:paraId="0E6F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6608B2C3">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（9）考生个人录取信息查询渠道和办法，分批次、分科类录取人数和录取最低分</w:t>
            </w:r>
          </w:p>
        </w:tc>
        <w:tc>
          <w:tcPr>
            <w:tcW w:w="3515" w:type="dxa"/>
          </w:tcPr>
          <w:p w14:paraId="4CF9A641">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http://www.zjjhy.net/xxgk/channels/97.html</w:t>
            </w:r>
          </w:p>
        </w:tc>
        <w:tc>
          <w:tcPr>
            <w:tcW w:w="1325" w:type="dxa"/>
          </w:tcPr>
          <w:p w14:paraId="0FC8B0D4">
            <w:pPr>
              <w:widowControl/>
              <w:spacing w:line="360" w:lineRule="exact"/>
              <w:jc w:val="left"/>
              <w:rPr>
                <w:rFonts w:ascii="黑体" w:hAnsi="黑体" w:eastAsia="黑体" w:cs="黑体"/>
                <w:kern w:val="0"/>
                <w:szCs w:val="21"/>
              </w:rPr>
            </w:pPr>
          </w:p>
        </w:tc>
      </w:tr>
      <w:tr w14:paraId="7326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19F0F190">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（10）招生咨询及考生申诉渠道，新生复查期间有关举报、调查及处理结果</w:t>
            </w:r>
          </w:p>
        </w:tc>
        <w:tc>
          <w:tcPr>
            <w:tcW w:w="3515" w:type="dxa"/>
          </w:tcPr>
          <w:p w14:paraId="5DA28DA2">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http://www.zjjhy.net/xxgk/channels/97.html</w:t>
            </w:r>
          </w:p>
        </w:tc>
        <w:tc>
          <w:tcPr>
            <w:tcW w:w="1325" w:type="dxa"/>
          </w:tcPr>
          <w:p w14:paraId="62AD687C">
            <w:pPr>
              <w:widowControl/>
              <w:spacing w:line="360" w:lineRule="exact"/>
              <w:jc w:val="left"/>
              <w:rPr>
                <w:rFonts w:ascii="黑体" w:hAnsi="黑体" w:eastAsia="黑体" w:cs="黑体"/>
                <w:kern w:val="0"/>
                <w:szCs w:val="21"/>
              </w:rPr>
            </w:pPr>
          </w:p>
        </w:tc>
      </w:tr>
      <w:tr w14:paraId="3AF0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540" w:type="dxa"/>
          </w:tcPr>
          <w:p w14:paraId="3C1443D2">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（11）研究生招生简章、招生专业目录、复试录取办法，各院（系、所）或学科、专业招收研究生人数</w:t>
            </w:r>
          </w:p>
        </w:tc>
        <w:tc>
          <w:tcPr>
            <w:tcW w:w="3515" w:type="dxa"/>
          </w:tcPr>
          <w:p w14:paraId="5B36A137">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325" w:type="dxa"/>
          </w:tcPr>
          <w:p w14:paraId="305386EE">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专科院校</w:t>
            </w:r>
          </w:p>
        </w:tc>
      </w:tr>
      <w:tr w14:paraId="6DC5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540" w:type="dxa"/>
          </w:tcPr>
          <w:p w14:paraId="13F93302">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（12）参加研究生复试的考生成绩</w:t>
            </w:r>
          </w:p>
        </w:tc>
        <w:tc>
          <w:tcPr>
            <w:tcW w:w="3515" w:type="dxa"/>
          </w:tcPr>
          <w:p w14:paraId="3EA9264A">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325" w:type="dxa"/>
          </w:tcPr>
          <w:p w14:paraId="591F1C89">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专科院校</w:t>
            </w:r>
          </w:p>
        </w:tc>
      </w:tr>
      <w:tr w14:paraId="1A27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7998ABD9">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（13）拟录取研究生名单</w:t>
            </w:r>
          </w:p>
        </w:tc>
        <w:tc>
          <w:tcPr>
            <w:tcW w:w="3515" w:type="dxa"/>
          </w:tcPr>
          <w:p w14:paraId="503B1C91">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325" w:type="dxa"/>
          </w:tcPr>
          <w:p w14:paraId="1C83E971">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专科院校</w:t>
            </w:r>
          </w:p>
        </w:tc>
      </w:tr>
      <w:tr w14:paraId="2299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1A261C98">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（14）研究生招生咨询及申诉渠道</w:t>
            </w:r>
          </w:p>
        </w:tc>
        <w:tc>
          <w:tcPr>
            <w:tcW w:w="3515" w:type="dxa"/>
          </w:tcPr>
          <w:p w14:paraId="7EDBC59D">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325" w:type="dxa"/>
          </w:tcPr>
          <w:p w14:paraId="09B84730">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专科院校</w:t>
            </w:r>
          </w:p>
        </w:tc>
      </w:tr>
      <w:tr w14:paraId="3492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506FD278">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（15）财务、资产管理制度</w:t>
            </w:r>
          </w:p>
        </w:tc>
        <w:tc>
          <w:tcPr>
            <w:tcW w:w="3515" w:type="dxa"/>
          </w:tcPr>
          <w:p w14:paraId="30656BD0">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http://www.zjjhy.net/xxgk/channels/98.html</w:t>
            </w:r>
          </w:p>
        </w:tc>
        <w:tc>
          <w:tcPr>
            <w:tcW w:w="1325" w:type="dxa"/>
          </w:tcPr>
          <w:p w14:paraId="4403B2EF">
            <w:pPr>
              <w:widowControl/>
              <w:spacing w:line="360" w:lineRule="exact"/>
              <w:jc w:val="left"/>
              <w:rPr>
                <w:rFonts w:ascii="黑体" w:hAnsi="黑体" w:eastAsia="黑体" w:cs="黑体"/>
                <w:kern w:val="0"/>
                <w:szCs w:val="21"/>
              </w:rPr>
            </w:pPr>
          </w:p>
        </w:tc>
      </w:tr>
      <w:tr w14:paraId="66FC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40" w:type="dxa"/>
          </w:tcPr>
          <w:p w14:paraId="58B41FC9">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（16）受捐赠财产的使用与管理情况</w:t>
            </w:r>
          </w:p>
        </w:tc>
        <w:tc>
          <w:tcPr>
            <w:tcW w:w="3515" w:type="dxa"/>
          </w:tcPr>
          <w:p w14:paraId="6C798AD2">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http://www.zjjhy.net/xxgk/channels/98.html</w:t>
            </w:r>
          </w:p>
        </w:tc>
        <w:tc>
          <w:tcPr>
            <w:tcW w:w="1325" w:type="dxa"/>
          </w:tcPr>
          <w:p w14:paraId="2DCBAD97">
            <w:pPr>
              <w:widowControl/>
              <w:spacing w:line="360" w:lineRule="exact"/>
              <w:jc w:val="left"/>
              <w:rPr>
                <w:rFonts w:ascii="黑体" w:hAnsi="黑体" w:eastAsia="黑体" w:cs="黑体"/>
                <w:kern w:val="0"/>
                <w:szCs w:val="21"/>
              </w:rPr>
            </w:pPr>
          </w:p>
        </w:tc>
      </w:tr>
      <w:tr w14:paraId="7F47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228FB7FD">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（17）校办企业资产、负债、国有资产保值增值等信息</w:t>
            </w:r>
          </w:p>
        </w:tc>
        <w:tc>
          <w:tcPr>
            <w:tcW w:w="3515" w:type="dxa"/>
          </w:tcPr>
          <w:p w14:paraId="0D688760">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http://www.zjjhy.net/xxgk/channels/98.html</w:t>
            </w:r>
          </w:p>
        </w:tc>
        <w:tc>
          <w:tcPr>
            <w:tcW w:w="1325" w:type="dxa"/>
          </w:tcPr>
          <w:p w14:paraId="593D3E95">
            <w:pPr>
              <w:widowControl/>
              <w:spacing w:line="360" w:lineRule="exact"/>
              <w:jc w:val="left"/>
              <w:rPr>
                <w:rFonts w:ascii="黑体" w:hAnsi="黑体" w:eastAsia="黑体" w:cs="黑体"/>
                <w:kern w:val="0"/>
                <w:szCs w:val="21"/>
              </w:rPr>
            </w:pPr>
          </w:p>
        </w:tc>
      </w:tr>
      <w:tr w14:paraId="7DA4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076BC485">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（18）仪器设备、图书、药品等物资设备采购和重大基建工程的招投标</w:t>
            </w:r>
          </w:p>
        </w:tc>
        <w:tc>
          <w:tcPr>
            <w:tcW w:w="3515" w:type="dxa"/>
          </w:tcPr>
          <w:p w14:paraId="3D2F8101">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http://www.zjjhy.net/xxgk/channels/98.html</w:t>
            </w:r>
          </w:p>
        </w:tc>
        <w:tc>
          <w:tcPr>
            <w:tcW w:w="1325" w:type="dxa"/>
          </w:tcPr>
          <w:p w14:paraId="7ACFFDE4">
            <w:pPr>
              <w:widowControl/>
              <w:spacing w:line="360" w:lineRule="exact"/>
              <w:jc w:val="left"/>
              <w:rPr>
                <w:rFonts w:ascii="黑体" w:hAnsi="黑体" w:eastAsia="黑体" w:cs="黑体"/>
                <w:kern w:val="0"/>
                <w:szCs w:val="21"/>
              </w:rPr>
            </w:pPr>
          </w:p>
        </w:tc>
      </w:tr>
      <w:tr w14:paraId="40A6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3776A2F0">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（19）收支预算总表、收入预算表、支出预算表、财政拨款支出预算表</w:t>
            </w:r>
          </w:p>
        </w:tc>
        <w:tc>
          <w:tcPr>
            <w:tcW w:w="3515" w:type="dxa"/>
          </w:tcPr>
          <w:p w14:paraId="7ADBE24B">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http://www.zjjhy.net/xxgk/channels/98.html</w:t>
            </w:r>
          </w:p>
        </w:tc>
        <w:tc>
          <w:tcPr>
            <w:tcW w:w="1325" w:type="dxa"/>
          </w:tcPr>
          <w:p w14:paraId="27A1B477">
            <w:pPr>
              <w:widowControl/>
              <w:spacing w:line="360" w:lineRule="exact"/>
              <w:jc w:val="left"/>
              <w:rPr>
                <w:rFonts w:ascii="黑体" w:hAnsi="黑体" w:eastAsia="黑体" w:cs="黑体"/>
                <w:kern w:val="0"/>
                <w:szCs w:val="21"/>
              </w:rPr>
            </w:pPr>
          </w:p>
        </w:tc>
      </w:tr>
      <w:tr w14:paraId="472A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081EC89A">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（20）收支决算总表、收入决算表、支出决算表、财政拨款支出决算表</w:t>
            </w:r>
          </w:p>
        </w:tc>
        <w:tc>
          <w:tcPr>
            <w:tcW w:w="3515" w:type="dxa"/>
          </w:tcPr>
          <w:p w14:paraId="053CE3B7">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http://www.zjjhy.net/xxgk/channels/98.html</w:t>
            </w:r>
          </w:p>
        </w:tc>
        <w:tc>
          <w:tcPr>
            <w:tcW w:w="1325" w:type="dxa"/>
          </w:tcPr>
          <w:p w14:paraId="27DC99C2">
            <w:pPr>
              <w:widowControl/>
              <w:spacing w:line="360" w:lineRule="exact"/>
              <w:jc w:val="left"/>
              <w:rPr>
                <w:rFonts w:ascii="黑体" w:hAnsi="黑体" w:eastAsia="黑体" w:cs="黑体"/>
                <w:kern w:val="0"/>
                <w:szCs w:val="21"/>
              </w:rPr>
            </w:pPr>
          </w:p>
        </w:tc>
      </w:tr>
      <w:tr w14:paraId="5C98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540" w:type="dxa"/>
          </w:tcPr>
          <w:p w14:paraId="66A12DF7">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（21）收费项目、收费依据、收费标准及投诉方式</w:t>
            </w:r>
          </w:p>
        </w:tc>
        <w:tc>
          <w:tcPr>
            <w:tcW w:w="3515" w:type="dxa"/>
          </w:tcPr>
          <w:p w14:paraId="7A856014">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http://www.zjjhy.net/xxgk/channels/98.html</w:t>
            </w:r>
          </w:p>
        </w:tc>
        <w:tc>
          <w:tcPr>
            <w:tcW w:w="1325" w:type="dxa"/>
          </w:tcPr>
          <w:p w14:paraId="132C2196">
            <w:pPr>
              <w:widowControl/>
              <w:spacing w:line="360" w:lineRule="exact"/>
              <w:jc w:val="left"/>
              <w:rPr>
                <w:rFonts w:ascii="黑体" w:hAnsi="黑体" w:eastAsia="黑体" w:cs="黑体"/>
                <w:kern w:val="0"/>
                <w:szCs w:val="21"/>
              </w:rPr>
            </w:pPr>
          </w:p>
        </w:tc>
      </w:tr>
      <w:tr w14:paraId="5A48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180004B5">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（22）校级领导干部社会兼职情况</w:t>
            </w:r>
          </w:p>
        </w:tc>
        <w:tc>
          <w:tcPr>
            <w:tcW w:w="3515" w:type="dxa"/>
          </w:tcPr>
          <w:p w14:paraId="7DFF44A2">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325" w:type="dxa"/>
          </w:tcPr>
          <w:p w14:paraId="62D342C8">
            <w:pPr>
              <w:widowControl/>
              <w:spacing w:line="360" w:lineRule="exact"/>
              <w:jc w:val="left"/>
              <w:rPr>
                <w:rFonts w:ascii="黑体" w:hAnsi="黑体" w:eastAsia="黑体" w:cs="黑体"/>
                <w:kern w:val="0"/>
                <w:szCs w:val="21"/>
              </w:rPr>
            </w:pPr>
          </w:p>
        </w:tc>
      </w:tr>
      <w:tr w14:paraId="5623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64AEA24A">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（23）校级领导干部因公出国（境）情况</w:t>
            </w:r>
          </w:p>
        </w:tc>
        <w:tc>
          <w:tcPr>
            <w:tcW w:w="3515" w:type="dxa"/>
          </w:tcPr>
          <w:p w14:paraId="13522F64">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http://www.zjjhy.net/xxgk/channels/99.html</w:t>
            </w:r>
          </w:p>
        </w:tc>
        <w:tc>
          <w:tcPr>
            <w:tcW w:w="1325" w:type="dxa"/>
          </w:tcPr>
          <w:p w14:paraId="4A155B2A">
            <w:pPr>
              <w:widowControl/>
              <w:spacing w:line="360" w:lineRule="exact"/>
              <w:jc w:val="left"/>
              <w:rPr>
                <w:rFonts w:ascii="黑体" w:hAnsi="黑体" w:eastAsia="黑体" w:cs="黑体"/>
                <w:kern w:val="0"/>
                <w:szCs w:val="21"/>
              </w:rPr>
            </w:pPr>
          </w:p>
        </w:tc>
      </w:tr>
      <w:tr w14:paraId="2D6E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14BB5FCD">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（24）岗位设置管理与聘用办法</w:t>
            </w:r>
          </w:p>
        </w:tc>
        <w:tc>
          <w:tcPr>
            <w:tcW w:w="3515" w:type="dxa"/>
          </w:tcPr>
          <w:p w14:paraId="5A08B2EA">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http://www.zjjhy.net/xxgk/channels/99.html</w:t>
            </w:r>
          </w:p>
        </w:tc>
        <w:tc>
          <w:tcPr>
            <w:tcW w:w="1325" w:type="dxa"/>
          </w:tcPr>
          <w:p w14:paraId="42084069">
            <w:pPr>
              <w:widowControl/>
              <w:spacing w:line="360" w:lineRule="exact"/>
              <w:jc w:val="left"/>
              <w:rPr>
                <w:rFonts w:ascii="黑体" w:hAnsi="黑体" w:eastAsia="黑体" w:cs="黑体"/>
                <w:kern w:val="0"/>
                <w:szCs w:val="21"/>
              </w:rPr>
            </w:pPr>
          </w:p>
        </w:tc>
      </w:tr>
      <w:tr w14:paraId="75C3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5EF3D63D">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（25）校内中层干部任免、人员招聘信息</w:t>
            </w:r>
          </w:p>
        </w:tc>
        <w:tc>
          <w:tcPr>
            <w:tcW w:w="3515" w:type="dxa"/>
          </w:tcPr>
          <w:p w14:paraId="015D6C1E">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http://www.zjjhy.net/xxgk/channels/99.html</w:t>
            </w:r>
          </w:p>
        </w:tc>
        <w:tc>
          <w:tcPr>
            <w:tcW w:w="1325" w:type="dxa"/>
          </w:tcPr>
          <w:p w14:paraId="4C4D7F9A">
            <w:pPr>
              <w:widowControl/>
              <w:spacing w:line="360" w:lineRule="exact"/>
              <w:jc w:val="left"/>
              <w:rPr>
                <w:rFonts w:ascii="黑体" w:hAnsi="黑体" w:eastAsia="黑体" w:cs="黑体"/>
                <w:kern w:val="0"/>
                <w:szCs w:val="21"/>
              </w:rPr>
            </w:pPr>
          </w:p>
        </w:tc>
      </w:tr>
      <w:tr w14:paraId="6FD9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3AAF74DA">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（26）教职工争议解决办法</w:t>
            </w:r>
          </w:p>
        </w:tc>
        <w:tc>
          <w:tcPr>
            <w:tcW w:w="3515" w:type="dxa"/>
          </w:tcPr>
          <w:p w14:paraId="1D17CC41">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http://www.zjjhy.net/xxgk/channels/94.html</w:t>
            </w:r>
          </w:p>
        </w:tc>
        <w:tc>
          <w:tcPr>
            <w:tcW w:w="1325" w:type="dxa"/>
          </w:tcPr>
          <w:p w14:paraId="02AE6BAE">
            <w:pPr>
              <w:widowControl/>
              <w:spacing w:line="360" w:lineRule="exact"/>
              <w:jc w:val="left"/>
              <w:rPr>
                <w:rFonts w:ascii="黑体" w:hAnsi="黑体" w:eastAsia="黑体" w:cs="黑体"/>
                <w:kern w:val="0"/>
                <w:szCs w:val="21"/>
              </w:rPr>
            </w:pPr>
          </w:p>
        </w:tc>
      </w:tr>
      <w:tr w14:paraId="010A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608B2B0D">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（27）本科生占全日制在校生总数的比例、教师数量及结构</w:t>
            </w:r>
          </w:p>
        </w:tc>
        <w:tc>
          <w:tcPr>
            <w:tcW w:w="3515" w:type="dxa"/>
          </w:tcPr>
          <w:p w14:paraId="0D430627">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325" w:type="dxa"/>
          </w:tcPr>
          <w:p w14:paraId="5EDA7D89">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专科院校</w:t>
            </w:r>
          </w:p>
        </w:tc>
      </w:tr>
      <w:tr w14:paraId="5D0E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5A24572E">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（28）专业设置、当年新增专业、停招专业名单</w:t>
            </w:r>
          </w:p>
        </w:tc>
        <w:tc>
          <w:tcPr>
            <w:tcW w:w="3515" w:type="dxa"/>
          </w:tcPr>
          <w:p w14:paraId="001E85F0">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http://www.zjjhy.net/xxgk/channels/100.html</w:t>
            </w:r>
          </w:p>
        </w:tc>
        <w:tc>
          <w:tcPr>
            <w:tcW w:w="1325" w:type="dxa"/>
          </w:tcPr>
          <w:p w14:paraId="1F29B673">
            <w:pPr>
              <w:widowControl/>
              <w:spacing w:line="360" w:lineRule="exact"/>
              <w:jc w:val="left"/>
              <w:rPr>
                <w:rFonts w:ascii="黑体" w:hAnsi="黑体" w:eastAsia="黑体" w:cs="黑体"/>
                <w:kern w:val="0"/>
                <w:szCs w:val="21"/>
              </w:rPr>
            </w:pPr>
          </w:p>
        </w:tc>
      </w:tr>
      <w:tr w14:paraId="63D4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64B9A867">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（29）全校开设课程总门数、实践教学学分占总学分比例、选修课学分占总学分比例</w:t>
            </w:r>
          </w:p>
        </w:tc>
        <w:tc>
          <w:tcPr>
            <w:tcW w:w="3515" w:type="dxa"/>
          </w:tcPr>
          <w:p w14:paraId="6B28BEF8">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http://www.zjjhy.net/xxgk/channels/100.html</w:t>
            </w:r>
          </w:p>
        </w:tc>
        <w:tc>
          <w:tcPr>
            <w:tcW w:w="1325" w:type="dxa"/>
          </w:tcPr>
          <w:p w14:paraId="7FFAB9D0">
            <w:pPr>
              <w:widowControl/>
              <w:spacing w:line="360" w:lineRule="exact"/>
              <w:jc w:val="left"/>
              <w:rPr>
                <w:rFonts w:ascii="黑体" w:hAnsi="黑体" w:eastAsia="黑体" w:cs="黑体"/>
                <w:kern w:val="0"/>
                <w:szCs w:val="21"/>
              </w:rPr>
            </w:pPr>
          </w:p>
        </w:tc>
      </w:tr>
      <w:tr w14:paraId="19D6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2AEF2089">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（30）主讲本科课程的教授占教授总数的比例、教授授本科课程占课程总门次数的比例</w:t>
            </w:r>
          </w:p>
        </w:tc>
        <w:tc>
          <w:tcPr>
            <w:tcW w:w="3515" w:type="dxa"/>
          </w:tcPr>
          <w:p w14:paraId="0C5CA341">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325" w:type="dxa"/>
          </w:tcPr>
          <w:p w14:paraId="7178E2D8">
            <w:pPr>
              <w:widowControl/>
              <w:spacing w:line="360" w:lineRule="exact"/>
              <w:jc w:val="left"/>
              <w:rPr>
                <w:rFonts w:ascii="黑体" w:hAnsi="黑体" w:eastAsia="黑体" w:cs="黑体"/>
                <w:kern w:val="0"/>
                <w:szCs w:val="21"/>
              </w:rPr>
            </w:pPr>
          </w:p>
        </w:tc>
      </w:tr>
      <w:tr w14:paraId="08CF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540" w:type="dxa"/>
          </w:tcPr>
          <w:p w14:paraId="78BB3C8A">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（31）促进毕业生就业的政策措施和指导服务</w:t>
            </w:r>
          </w:p>
        </w:tc>
        <w:tc>
          <w:tcPr>
            <w:tcW w:w="3515" w:type="dxa"/>
          </w:tcPr>
          <w:p w14:paraId="56FE788B">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http://www.zjjhy.net/xxgk/channels/100.html</w:t>
            </w:r>
          </w:p>
        </w:tc>
        <w:tc>
          <w:tcPr>
            <w:tcW w:w="1325" w:type="dxa"/>
          </w:tcPr>
          <w:p w14:paraId="5A9A7807">
            <w:pPr>
              <w:widowControl/>
              <w:spacing w:line="360" w:lineRule="exact"/>
              <w:jc w:val="left"/>
              <w:rPr>
                <w:rFonts w:ascii="黑体" w:hAnsi="黑体" w:eastAsia="黑体" w:cs="黑体"/>
                <w:kern w:val="0"/>
                <w:szCs w:val="21"/>
              </w:rPr>
            </w:pPr>
          </w:p>
        </w:tc>
      </w:tr>
      <w:tr w14:paraId="6990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1FD26DDA">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（32）毕业生的规模、结构、就业率、就业流向</w:t>
            </w:r>
          </w:p>
        </w:tc>
        <w:tc>
          <w:tcPr>
            <w:tcW w:w="3515" w:type="dxa"/>
          </w:tcPr>
          <w:p w14:paraId="4721A275">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http://www.zjjhy.net/xxgk/channels/100.html</w:t>
            </w:r>
          </w:p>
        </w:tc>
        <w:tc>
          <w:tcPr>
            <w:tcW w:w="1325" w:type="dxa"/>
          </w:tcPr>
          <w:p w14:paraId="6760D711">
            <w:pPr>
              <w:widowControl/>
              <w:spacing w:line="360" w:lineRule="exact"/>
              <w:jc w:val="left"/>
              <w:rPr>
                <w:rFonts w:ascii="黑体" w:hAnsi="黑体" w:eastAsia="黑体" w:cs="黑体"/>
                <w:kern w:val="0"/>
                <w:szCs w:val="21"/>
              </w:rPr>
            </w:pPr>
          </w:p>
        </w:tc>
      </w:tr>
      <w:tr w14:paraId="7466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40448689">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（33）高校毕业生就业质量年度报告</w:t>
            </w:r>
          </w:p>
        </w:tc>
        <w:tc>
          <w:tcPr>
            <w:tcW w:w="3515" w:type="dxa"/>
          </w:tcPr>
          <w:p w14:paraId="7F077BB5">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http://www.zjjhy.net/xxgk/channels/100.html</w:t>
            </w:r>
          </w:p>
        </w:tc>
        <w:tc>
          <w:tcPr>
            <w:tcW w:w="1325" w:type="dxa"/>
          </w:tcPr>
          <w:p w14:paraId="2007D511">
            <w:pPr>
              <w:widowControl/>
              <w:spacing w:line="360" w:lineRule="exact"/>
              <w:jc w:val="left"/>
              <w:rPr>
                <w:rFonts w:ascii="黑体" w:hAnsi="黑体" w:eastAsia="黑体" w:cs="黑体"/>
                <w:kern w:val="0"/>
                <w:szCs w:val="21"/>
              </w:rPr>
            </w:pPr>
          </w:p>
        </w:tc>
      </w:tr>
      <w:tr w14:paraId="550D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08C98143">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（34）艺术教育发展年度报告</w:t>
            </w:r>
          </w:p>
        </w:tc>
        <w:tc>
          <w:tcPr>
            <w:tcW w:w="3515" w:type="dxa"/>
          </w:tcPr>
          <w:p w14:paraId="43F1E3F2">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325" w:type="dxa"/>
          </w:tcPr>
          <w:p w14:paraId="58228A38">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暂无</w:t>
            </w:r>
          </w:p>
        </w:tc>
      </w:tr>
      <w:tr w14:paraId="60B6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6A90DA27">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（35）本科教学质量报告</w:t>
            </w:r>
          </w:p>
        </w:tc>
        <w:tc>
          <w:tcPr>
            <w:tcW w:w="3515" w:type="dxa"/>
          </w:tcPr>
          <w:p w14:paraId="57DD7473">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325" w:type="dxa"/>
          </w:tcPr>
          <w:p w14:paraId="475CBDD4">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专科院校</w:t>
            </w:r>
          </w:p>
        </w:tc>
      </w:tr>
      <w:tr w14:paraId="10AD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1969461E">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（36）学籍管理办法</w:t>
            </w:r>
          </w:p>
        </w:tc>
        <w:tc>
          <w:tcPr>
            <w:tcW w:w="3515" w:type="dxa"/>
          </w:tcPr>
          <w:p w14:paraId="2790EA71">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http://www.zjjhy.net/xxgk/contents/101/6283.html</w:t>
            </w:r>
          </w:p>
        </w:tc>
        <w:tc>
          <w:tcPr>
            <w:tcW w:w="1325" w:type="dxa"/>
          </w:tcPr>
          <w:p w14:paraId="361FD75A">
            <w:pPr>
              <w:widowControl/>
              <w:spacing w:line="360" w:lineRule="exact"/>
              <w:jc w:val="left"/>
              <w:rPr>
                <w:rFonts w:ascii="黑体" w:hAnsi="黑体" w:eastAsia="黑体" w:cs="黑体"/>
                <w:kern w:val="0"/>
                <w:szCs w:val="21"/>
              </w:rPr>
            </w:pPr>
          </w:p>
        </w:tc>
      </w:tr>
      <w:tr w14:paraId="0383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4863EB8A">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（37）学生奖学金、助学金、学费减免、助学贷款、勤工俭学的申请与管理规定</w:t>
            </w:r>
          </w:p>
        </w:tc>
        <w:tc>
          <w:tcPr>
            <w:tcW w:w="3515" w:type="dxa"/>
          </w:tcPr>
          <w:p w14:paraId="3ACF8456">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http://www.zjjhy.net/xxgk/channels/101.html</w:t>
            </w:r>
          </w:p>
        </w:tc>
        <w:tc>
          <w:tcPr>
            <w:tcW w:w="1325" w:type="dxa"/>
          </w:tcPr>
          <w:p w14:paraId="0AC9DB12">
            <w:pPr>
              <w:widowControl/>
              <w:spacing w:line="360" w:lineRule="exact"/>
              <w:jc w:val="left"/>
              <w:rPr>
                <w:rFonts w:ascii="黑体" w:hAnsi="黑体" w:eastAsia="黑体" w:cs="黑体"/>
                <w:kern w:val="0"/>
                <w:szCs w:val="21"/>
              </w:rPr>
            </w:pPr>
          </w:p>
        </w:tc>
      </w:tr>
      <w:tr w14:paraId="6843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3D8BDD2B">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（38）学生奖励处罚办法</w:t>
            </w:r>
          </w:p>
        </w:tc>
        <w:tc>
          <w:tcPr>
            <w:tcW w:w="3515" w:type="dxa"/>
          </w:tcPr>
          <w:p w14:paraId="4A0761E1">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http://www.zjjhy.net/xxgk/channels/101.html</w:t>
            </w:r>
          </w:p>
        </w:tc>
        <w:tc>
          <w:tcPr>
            <w:tcW w:w="1325" w:type="dxa"/>
          </w:tcPr>
          <w:p w14:paraId="6E3588AC">
            <w:pPr>
              <w:widowControl/>
              <w:spacing w:line="360" w:lineRule="exact"/>
              <w:jc w:val="left"/>
              <w:rPr>
                <w:rFonts w:ascii="黑体" w:hAnsi="黑体" w:eastAsia="黑体" w:cs="黑体"/>
                <w:kern w:val="0"/>
                <w:szCs w:val="21"/>
              </w:rPr>
            </w:pPr>
          </w:p>
        </w:tc>
      </w:tr>
      <w:tr w14:paraId="14C3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62504193">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（39）学生申诉办法</w:t>
            </w:r>
          </w:p>
        </w:tc>
        <w:tc>
          <w:tcPr>
            <w:tcW w:w="3515" w:type="dxa"/>
          </w:tcPr>
          <w:p w14:paraId="7E288129">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http://www.zjjhy.net/xxgk/channels/101.html</w:t>
            </w:r>
          </w:p>
        </w:tc>
        <w:tc>
          <w:tcPr>
            <w:tcW w:w="1325" w:type="dxa"/>
          </w:tcPr>
          <w:p w14:paraId="26CB40F2">
            <w:pPr>
              <w:widowControl/>
              <w:spacing w:line="360" w:lineRule="exact"/>
              <w:jc w:val="left"/>
              <w:rPr>
                <w:rFonts w:ascii="黑体" w:hAnsi="黑体" w:eastAsia="黑体" w:cs="黑体"/>
                <w:kern w:val="0"/>
                <w:szCs w:val="21"/>
              </w:rPr>
            </w:pPr>
          </w:p>
        </w:tc>
      </w:tr>
      <w:tr w14:paraId="0661D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7522E904">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（40）学风建设机构</w:t>
            </w:r>
          </w:p>
        </w:tc>
        <w:tc>
          <w:tcPr>
            <w:tcW w:w="3515" w:type="dxa"/>
          </w:tcPr>
          <w:p w14:paraId="5FA234C7">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http://www.zjjhy.net/xxgk/contents/102/3262.html</w:t>
            </w:r>
          </w:p>
        </w:tc>
        <w:tc>
          <w:tcPr>
            <w:tcW w:w="1325" w:type="dxa"/>
          </w:tcPr>
          <w:p w14:paraId="40BD9D13">
            <w:pPr>
              <w:widowControl/>
              <w:spacing w:line="360" w:lineRule="exact"/>
              <w:jc w:val="left"/>
              <w:rPr>
                <w:rFonts w:ascii="黑体" w:hAnsi="黑体" w:eastAsia="黑体" w:cs="黑体"/>
                <w:kern w:val="0"/>
                <w:szCs w:val="21"/>
              </w:rPr>
            </w:pPr>
          </w:p>
        </w:tc>
      </w:tr>
      <w:tr w14:paraId="6A9E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540" w:type="dxa"/>
          </w:tcPr>
          <w:p w14:paraId="147C72F4">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（41）学术规范制度</w:t>
            </w:r>
          </w:p>
        </w:tc>
        <w:tc>
          <w:tcPr>
            <w:tcW w:w="3515" w:type="dxa"/>
          </w:tcPr>
          <w:p w14:paraId="768FB096">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http://www.zjjhy.net/xxgk/contents/102/720.html</w:t>
            </w:r>
          </w:p>
        </w:tc>
        <w:tc>
          <w:tcPr>
            <w:tcW w:w="1325" w:type="dxa"/>
          </w:tcPr>
          <w:p w14:paraId="0C29DD24">
            <w:pPr>
              <w:widowControl/>
              <w:spacing w:line="360" w:lineRule="exact"/>
              <w:jc w:val="left"/>
              <w:rPr>
                <w:rFonts w:ascii="黑体" w:hAnsi="黑体" w:eastAsia="黑体" w:cs="黑体"/>
                <w:kern w:val="0"/>
                <w:szCs w:val="21"/>
              </w:rPr>
            </w:pPr>
          </w:p>
        </w:tc>
      </w:tr>
      <w:tr w14:paraId="41AC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3E75B2F2">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（42）学术不端行为查处机制</w:t>
            </w:r>
          </w:p>
        </w:tc>
        <w:tc>
          <w:tcPr>
            <w:tcW w:w="3515" w:type="dxa"/>
          </w:tcPr>
          <w:p w14:paraId="092A68B2">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325" w:type="dxa"/>
          </w:tcPr>
          <w:p w14:paraId="00B9E0A6">
            <w:pPr>
              <w:widowControl/>
              <w:spacing w:line="360" w:lineRule="exact"/>
              <w:jc w:val="left"/>
              <w:rPr>
                <w:rFonts w:ascii="黑体" w:hAnsi="黑体" w:eastAsia="黑体" w:cs="黑体"/>
                <w:kern w:val="0"/>
                <w:szCs w:val="21"/>
              </w:rPr>
            </w:pPr>
          </w:p>
        </w:tc>
      </w:tr>
      <w:tr w14:paraId="4145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7545C769">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（43）授予博士、硕士、学士学位的基本要求</w:t>
            </w:r>
          </w:p>
        </w:tc>
        <w:tc>
          <w:tcPr>
            <w:tcW w:w="3515" w:type="dxa"/>
          </w:tcPr>
          <w:p w14:paraId="544E98FF">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325" w:type="dxa"/>
          </w:tcPr>
          <w:p w14:paraId="08C4845A">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专科院校</w:t>
            </w:r>
          </w:p>
        </w:tc>
      </w:tr>
      <w:tr w14:paraId="43BD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7AE7D139">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（44）拟授予硕士、博士学位同等学力人员资格审查和学力水平认定</w:t>
            </w:r>
          </w:p>
        </w:tc>
        <w:tc>
          <w:tcPr>
            <w:tcW w:w="3515" w:type="dxa"/>
          </w:tcPr>
          <w:p w14:paraId="64E1A07F">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325" w:type="dxa"/>
          </w:tcPr>
          <w:p w14:paraId="601443D8">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专科院校</w:t>
            </w:r>
          </w:p>
        </w:tc>
      </w:tr>
      <w:tr w14:paraId="5311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77A873FA">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（45）新增硕士、博士学位授权学科或专业学位授权点审核办法</w:t>
            </w:r>
          </w:p>
        </w:tc>
        <w:tc>
          <w:tcPr>
            <w:tcW w:w="3515" w:type="dxa"/>
          </w:tcPr>
          <w:p w14:paraId="28145D35">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325" w:type="dxa"/>
          </w:tcPr>
          <w:p w14:paraId="2F4ECD70">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专科院校</w:t>
            </w:r>
          </w:p>
        </w:tc>
      </w:tr>
      <w:tr w14:paraId="11E6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6F36976A">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（46）拟新增学位授权学科或专业学位授权点的申报及论证材料</w:t>
            </w:r>
          </w:p>
        </w:tc>
        <w:tc>
          <w:tcPr>
            <w:tcW w:w="3515" w:type="dxa"/>
          </w:tcPr>
          <w:p w14:paraId="037D39F5">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325" w:type="dxa"/>
          </w:tcPr>
          <w:p w14:paraId="6E0B1A8D">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专科院校</w:t>
            </w:r>
          </w:p>
        </w:tc>
      </w:tr>
      <w:tr w14:paraId="2EBB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4C068796">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（47）中外合作办学情况</w:t>
            </w:r>
          </w:p>
        </w:tc>
        <w:tc>
          <w:tcPr>
            <w:tcW w:w="3515" w:type="dxa"/>
          </w:tcPr>
          <w:p w14:paraId="0C50D592">
            <w:pPr>
              <w:widowControl/>
              <w:spacing w:line="360" w:lineRule="exact"/>
              <w:jc w:val="left"/>
              <w:rPr>
                <w:rFonts w:ascii="黑体" w:hAnsi="黑体" w:eastAsia="黑体" w:cs="黑体"/>
                <w:kern w:val="0"/>
                <w:szCs w:val="21"/>
              </w:rPr>
            </w:pPr>
            <w:r>
              <w:rPr>
                <w:rFonts w:hint="eastAsia" w:ascii="仿宋" w:hAnsi="仿宋" w:eastAsia="仿宋" w:cs="仿宋"/>
                <w:kern w:val="0"/>
                <w:szCs w:val="21"/>
              </w:rPr>
              <w:t>http://www.zjjhy.net/xxgk/channels/68.html</w:t>
            </w:r>
          </w:p>
        </w:tc>
        <w:tc>
          <w:tcPr>
            <w:tcW w:w="1325" w:type="dxa"/>
          </w:tcPr>
          <w:p w14:paraId="4DE4546D">
            <w:pPr>
              <w:widowControl/>
              <w:spacing w:line="360" w:lineRule="exact"/>
              <w:jc w:val="left"/>
              <w:rPr>
                <w:rFonts w:ascii="黑体" w:hAnsi="黑体" w:eastAsia="黑体" w:cs="黑体"/>
                <w:kern w:val="0"/>
                <w:szCs w:val="21"/>
              </w:rPr>
            </w:pPr>
          </w:p>
        </w:tc>
      </w:tr>
      <w:tr w14:paraId="33C0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2E18CA06">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（48）来华留学生管理相关规定</w:t>
            </w:r>
          </w:p>
        </w:tc>
        <w:tc>
          <w:tcPr>
            <w:tcW w:w="3515" w:type="dxa"/>
          </w:tcPr>
          <w:p w14:paraId="45D2E0DE">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325" w:type="dxa"/>
          </w:tcPr>
          <w:p w14:paraId="37E33CE8">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暂未接收来华留学生</w:t>
            </w:r>
          </w:p>
        </w:tc>
      </w:tr>
      <w:tr w14:paraId="6DBA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14:paraId="2274454C">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（49）巡视组反馈意见，落实反馈意见整改情况</w:t>
            </w:r>
          </w:p>
        </w:tc>
        <w:tc>
          <w:tcPr>
            <w:tcW w:w="3515" w:type="dxa"/>
          </w:tcPr>
          <w:p w14:paraId="3CEB22D5">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http://www.zjjhy.net/xxgk/channels/103.html</w:t>
            </w:r>
          </w:p>
        </w:tc>
        <w:tc>
          <w:tcPr>
            <w:tcW w:w="1325" w:type="dxa"/>
          </w:tcPr>
          <w:p w14:paraId="5DA5E21A">
            <w:pPr>
              <w:widowControl/>
              <w:spacing w:line="360" w:lineRule="exact"/>
              <w:jc w:val="left"/>
              <w:rPr>
                <w:rFonts w:ascii="黑体" w:hAnsi="黑体" w:eastAsia="黑体" w:cs="黑体"/>
                <w:kern w:val="0"/>
                <w:szCs w:val="21"/>
              </w:rPr>
            </w:pPr>
          </w:p>
        </w:tc>
      </w:tr>
      <w:tr w14:paraId="528B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40" w:type="dxa"/>
          </w:tcPr>
          <w:p w14:paraId="54E84343">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（50）自然灾害等突发事件的应急处理预案、预警信息和处置情况，涉及学校的重大事件的调查和处理情况</w:t>
            </w:r>
          </w:p>
        </w:tc>
        <w:tc>
          <w:tcPr>
            <w:tcW w:w="3515" w:type="dxa"/>
          </w:tcPr>
          <w:p w14:paraId="25738513">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http://www.zjjhy.net/xxgk/channels/103.html</w:t>
            </w:r>
          </w:p>
        </w:tc>
        <w:tc>
          <w:tcPr>
            <w:tcW w:w="1325" w:type="dxa"/>
          </w:tcPr>
          <w:p w14:paraId="19B8B41F">
            <w:pPr>
              <w:widowControl/>
              <w:spacing w:line="360" w:lineRule="exact"/>
              <w:jc w:val="left"/>
              <w:rPr>
                <w:rFonts w:ascii="黑体" w:hAnsi="黑体" w:eastAsia="黑体" w:cs="黑体"/>
                <w:kern w:val="0"/>
                <w:szCs w:val="21"/>
              </w:rPr>
            </w:pPr>
          </w:p>
        </w:tc>
      </w:tr>
    </w:tbl>
    <w:p w14:paraId="41F5F37F">
      <w:pPr>
        <w:ind w:firstLine="640" w:firstLineChars="200"/>
        <w:rPr>
          <w:rFonts w:hint="eastAsia" w:ascii="仿宋_GB2312" w:eastAsia="仿宋_GB2312"/>
          <w:sz w:val="32"/>
        </w:rPr>
      </w:pPr>
    </w:p>
    <w:p w14:paraId="09837F44">
      <w:pPr>
        <w:ind w:firstLine="640" w:firstLineChars="200"/>
        <w:rPr>
          <w:rFonts w:hint="eastAsia" w:ascii="仿宋_GB2312" w:eastAsia="仿宋_GB2312"/>
          <w:sz w:val="32"/>
        </w:rPr>
      </w:pPr>
    </w:p>
    <w:p w14:paraId="6A20E563">
      <w:pPr>
        <w:ind w:firstLine="640" w:firstLineChars="200"/>
        <w:rPr>
          <w:rFonts w:hint="eastAsia" w:ascii="仿宋_GB2312" w:eastAsia="仿宋_GB2312"/>
          <w:sz w:val="32"/>
        </w:rPr>
      </w:pPr>
    </w:p>
    <w:p w14:paraId="0A1513F8">
      <w:pPr>
        <w:ind w:firstLine="640" w:firstLineChars="200"/>
        <w:rPr>
          <w:rFonts w:hint="eastAsia" w:ascii="仿宋_GB2312" w:eastAsia="仿宋_GB2312"/>
          <w:sz w:val="32"/>
        </w:rPr>
      </w:pPr>
    </w:p>
    <w:p w14:paraId="13F6A1F7">
      <w:pPr>
        <w:ind w:firstLine="640" w:firstLineChars="200"/>
        <w:rPr>
          <w:rFonts w:hint="eastAsia" w:ascii="仿宋_GB2312" w:eastAsia="仿宋_GB2312"/>
          <w:sz w:val="32"/>
        </w:rPr>
      </w:pPr>
    </w:p>
    <w:p w14:paraId="0DD9D504">
      <w:pPr>
        <w:ind w:firstLine="640" w:firstLineChars="200"/>
        <w:rPr>
          <w:rFonts w:hint="eastAsia" w:ascii="仿宋_GB2312" w:eastAsia="仿宋_GB2312"/>
          <w:sz w:val="32"/>
        </w:rPr>
      </w:pPr>
    </w:p>
    <w:p w14:paraId="56699E1D">
      <w:pPr>
        <w:ind w:firstLine="640" w:firstLineChars="200"/>
        <w:rPr>
          <w:rFonts w:hint="default" w:ascii="仿宋_GB2312" w:eastAsia="仿宋_GB2312"/>
          <w:sz w:val="32"/>
          <w:lang w:val="en-US" w:eastAsia="zh-CN"/>
        </w:rPr>
      </w:pPr>
      <w:r>
        <w:rPr>
          <w:rFonts w:hint="eastAsia" w:ascii="仿宋_GB2312" w:eastAsia="仿宋_GB2312"/>
          <w:sz w:val="32"/>
          <w:lang w:val="en-US" w:eastAsia="zh-CN"/>
        </w:rPr>
        <w:t xml:space="preserve">                      2024年11月10日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87F6B7-AE93-4227-AD59-4C13BE6C3B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91EB50B8-0A8E-4C01-A9D3-8BC572CB85F7}"/>
  </w:font>
  <w:font w:name="仿宋_GB2312">
    <w:panose1 w:val="02010609030101010101"/>
    <w:charset w:val="86"/>
    <w:family w:val="modern"/>
    <w:pitch w:val="default"/>
    <w:sig w:usb0="00000001" w:usb1="080E0000" w:usb2="00000000" w:usb3="00000000" w:csb0="00040000" w:csb1="00000000"/>
    <w:embedRegular r:id="rId3" w:fontKey="{DC07E70B-3479-4E38-9BB1-5814EDF28D95}"/>
  </w:font>
  <w:font w:name="仿宋">
    <w:panose1 w:val="02010609060101010101"/>
    <w:charset w:val="86"/>
    <w:family w:val="modern"/>
    <w:pitch w:val="default"/>
    <w:sig w:usb0="800002BF" w:usb1="38CF7CFA" w:usb2="00000016" w:usb3="00000000" w:csb0="00040001" w:csb1="00000000"/>
    <w:embedRegular r:id="rId4" w:fontKey="{DEFA0B45-2C11-4EFE-BD06-D55C19F8C7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CBEE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666FD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666FD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69E222"/>
    <w:multiLevelType w:val="singleLevel"/>
    <w:tmpl w:val="DA69E222"/>
    <w:lvl w:ilvl="0" w:tentative="0">
      <w:start w:val="1"/>
      <w:numFmt w:val="chineseCounting"/>
      <w:suff w:val="nothing"/>
      <w:lvlText w:val="（%1）"/>
      <w:lvlJc w:val="left"/>
      <w:rPr>
        <w:rFonts w:hint="eastAsia"/>
      </w:rPr>
    </w:lvl>
  </w:abstractNum>
  <w:abstractNum w:abstractNumId="1">
    <w:nsid w:val="7279E97A"/>
    <w:multiLevelType w:val="singleLevel"/>
    <w:tmpl w:val="7279E97A"/>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YmZmMGM5ODcxMzZhNGZlZDVlNmYxY2IzZGExMGIifQ=="/>
  </w:docVars>
  <w:rsids>
    <w:rsidRoot w:val="00D44C2D"/>
    <w:rsid w:val="000B0210"/>
    <w:rsid w:val="00133257"/>
    <w:rsid w:val="00345F34"/>
    <w:rsid w:val="004C4030"/>
    <w:rsid w:val="005871F1"/>
    <w:rsid w:val="00676DF8"/>
    <w:rsid w:val="00D44C2D"/>
    <w:rsid w:val="03553F3E"/>
    <w:rsid w:val="047F7AAE"/>
    <w:rsid w:val="11FD3F84"/>
    <w:rsid w:val="1A34097B"/>
    <w:rsid w:val="21203135"/>
    <w:rsid w:val="2B255848"/>
    <w:rsid w:val="2F9D6E59"/>
    <w:rsid w:val="3141547A"/>
    <w:rsid w:val="330B10D9"/>
    <w:rsid w:val="68F502A3"/>
    <w:rsid w:val="6AB136EA"/>
    <w:rsid w:val="6D31281D"/>
    <w:rsid w:val="73CC0E84"/>
    <w:rsid w:val="74B2538F"/>
    <w:rsid w:val="7B85659B"/>
    <w:rsid w:val="7D232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Emphasis"/>
    <w:basedOn w:val="5"/>
    <w:qFormat/>
    <w:uiPriority w:val="20"/>
    <w:rPr>
      <w: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2102</Words>
  <Characters>2154</Characters>
  <Lines>23</Lines>
  <Paragraphs>6</Paragraphs>
  <TotalTime>214</TotalTime>
  <ScaleCrop>false</ScaleCrop>
  <LinksUpToDate>false</LinksUpToDate>
  <CharactersWithSpaces>2154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2023-11-15T06:49:00Z</dcterms:created>
  <dc:creator>Administrator</dc:creator>
  <cp:lastModifiedBy>谢尚町</cp:lastModifiedBy>
  <cp:lastPrinted>2023-11-29T07:01:00Z</cp:lastPrinted>
  <dcterms:modified xsi:type="dcterms:W3CDTF">2024-11-08T07:47:41Z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C5434B860625450583684B87E1E484CD_13</vt:lpwstr>
  </property>
</Properties>
</file>